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3F032C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D5949">
        <w:t xml:space="preserve"> Academic year 21/22</w:t>
      </w:r>
    </w:p>
    <w:p w14:paraId="30D90B8F" w14:textId="2516F9C5" w:rsidR="00C840B9" w:rsidRPr="00C840B9" w:rsidRDefault="00C840B9" w:rsidP="00C840B9">
      <w:pPr>
        <w:jc w:val="center"/>
        <w:rPr>
          <w:sz w:val="40"/>
          <w:szCs w:val="40"/>
        </w:rPr>
      </w:pPr>
      <w:r w:rsidRPr="00C840B9">
        <w:rPr>
          <w:sz w:val="40"/>
          <w:szCs w:val="40"/>
        </w:rPr>
        <w:t>Manchester Secondary PRU</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It outlines our pupil premium strategy, how</w:t>
      </w:r>
      <w:bookmarkStart w:id="14" w:name="_GoBack"/>
      <w:bookmarkEnd w:id="14"/>
      <w:r>
        <w:rPr>
          <w:b w:val="0"/>
          <w:bCs/>
          <w:color w:val="auto"/>
          <w:sz w:val="24"/>
          <w:szCs w:val="24"/>
        </w:rPr>
        <w:t xml:space="preserve">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C1D42EA" w:rsidR="00E66558" w:rsidRDefault="000646E9">
            <w:pPr>
              <w:pStyle w:val="TableRow"/>
            </w:pPr>
            <w:r>
              <w:t>Manchester Secondary PRU</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2EE59E" w:rsidR="00E66558" w:rsidRDefault="000646E9">
            <w:pPr>
              <w:pStyle w:val="TableRow"/>
            </w:pPr>
            <w:r>
              <w:t>418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0AAE414" w:rsidR="00E66558" w:rsidRDefault="000646E9">
            <w:pPr>
              <w:pStyle w:val="TableRow"/>
            </w:pPr>
            <w:r>
              <w:t>Typically 75% See further information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F67321F" w:rsidR="00E66558" w:rsidRDefault="000646E9">
            <w:pPr>
              <w:pStyle w:val="TableRow"/>
            </w:pPr>
            <w:r>
              <w:t>20/21</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613EABA" w:rsidR="00E66558" w:rsidRDefault="000646E9">
            <w:pPr>
              <w:pStyle w:val="TableRow"/>
            </w:pPr>
            <w:r>
              <w:t>21/9/21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D83A5BA" w:rsidR="00E66558" w:rsidRDefault="000646E9">
            <w:pPr>
              <w:pStyle w:val="TableRow"/>
            </w:pPr>
            <w:r>
              <w:t>21/7/22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CF32E47" w:rsidR="00E66558" w:rsidRDefault="000646E9">
            <w:pPr>
              <w:pStyle w:val="TableRow"/>
            </w:pPr>
            <w:r>
              <w:t>Andrew Burton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5F6E289" w:rsidR="00E66558" w:rsidRDefault="000646E9">
            <w:pPr>
              <w:pStyle w:val="TableRow"/>
            </w:pPr>
            <w:r>
              <w:t>Colin Rigby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8F3CED6" w:rsidR="00E66558" w:rsidRDefault="000646E9">
            <w:pPr>
              <w:pStyle w:val="TableRow"/>
            </w:pPr>
            <w:r>
              <w:t>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3969301" w:rsidR="00E66558" w:rsidRDefault="009D71E8">
            <w:pPr>
              <w:pStyle w:val="TableRow"/>
            </w:pPr>
            <w:r>
              <w:t>£</w:t>
            </w:r>
            <w:r w:rsidR="000646E9">
              <w:t>149425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B0BC550" w:rsidR="00E66558" w:rsidRDefault="009D71E8">
            <w:pPr>
              <w:pStyle w:val="TableRow"/>
            </w:pPr>
            <w:r>
              <w:t>£</w:t>
            </w:r>
            <w:r w:rsidR="000646E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35B4B65A" w:rsidR="00E66558" w:rsidRDefault="009D71E8">
            <w:pPr>
              <w:pStyle w:val="TableRow"/>
            </w:pPr>
            <w:r>
              <w:t>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E66558" w:rsidRDefault="009D71E8">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F369" w14:textId="77777777" w:rsidR="009E5F29" w:rsidRPr="009E5F29" w:rsidRDefault="009E5F29" w:rsidP="009E5F29">
            <w:pPr>
              <w:pStyle w:val="NormalWeb"/>
              <w:spacing w:before="0" w:beforeAutospacing="0" w:after="0" w:afterAutospacing="0"/>
              <w:jc w:val="both"/>
              <w:rPr>
                <w:rFonts w:ascii="Arial" w:hAnsi="Arial" w:cs="Arial"/>
              </w:rPr>
            </w:pPr>
            <w:r w:rsidRPr="009E5F29">
              <w:rPr>
                <w:rStyle w:val="Strong"/>
                <w:rFonts w:ascii="Arial" w:hAnsi="Arial" w:cs="Arial"/>
              </w:rPr>
              <w:t>Six Principles of Nurture </w:t>
            </w:r>
          </w:p>
          <w:p w14:paraId="15C60261" w14:textId="77777777" w:rsidR="009E5F29" w:rsidRPr="009E5F29" w:rsidRDefault="009E5F29" w:rsidP="009E5F29">
            <w:pPr>
              <w:numPr>
                <w:ilvl w:val="0"/>
                <w:numId w:val="14"/>
              </w:numPr>
              <w:suppressAutoHyphens w:val="0"/>
              <w:autoSpaceDN/>
              <w:spacing w:before="100" w:beforeAutospacing="1" w:after="0" w:line="240" w:lineRule="auto"/>
              <w:rPr>
                <w:rFonts w:cs="Arial"/>
                <w:color w:val="auto"/>
              </w:rPr>
            </w:pPr>
            <w:r w:rsidRPr="009E5F29">
              <w:rPr>
                <w:rFonts w:cs="Arial"/>
                <w:color w:val="auto"/>
              </w:rPr>
              <w:t> Children's learning is understood developmentally</w:t>
            </w:r>
          </w:p>
          <w:p w14:paraId="6855F7C3" w14:textId="77777777" w:rsidR="009E5F29" w:rsidRPr="009E5F29" w:rsidRDefault="009E5F29" w:rsidP="009E5F29">
            <w:pPr>
              <w:numPr>
                <w:ilvl w:val="0"/>
                <w:numId w:val="14"/>
              </w:numPr>
              <w:suppressAutoHyphens w:val="0"/>
              <w:autoSpaceDN/>
              <w:spacing w:before="100" w:beforeAutospacing="1" w:after="0" w:line="240" w:lineRule="auto"/>
              <w:rPr>
                <w:rFonts w:cs="Arial"/>
                <w:color w:val="auto"/>
              </w:rPr>
            </w:pPr>
            <w:r w:rsidRPr="009E5F29">
              <w:rPr>
                <w:rFonts w:cs="Arial"/>
                <w:color w:val="auto"/>
              </w:rPr>
              <w:t> The classroom offers a safe base</w:t>
            </w:r>
          </w:p>
          <w:p w14:paraId="450EDA57" w14:textId="77777777" w:rsidR="009E5F29" w:rsidRPr="009E5F29" w:rsidRDefault="009E5F29" w:rsidP="009E5F29">
            <w:pPr>
              <w:numPr>
                <w:ilvl w:val="0"/>
                <w:numId w:val="14"/>
              </w:numPr>
              <w:suppressAutoHyphens w:val="0"/>
              <w:autoSpaceDN/>
              <w:spacing w:before="100" w:beforeAutospacing="1" w:after="0" w:line="240" w:lineRule="auto"/>
              <w:rPr>
                <w:rFonts w:cs="Arial"/>
                <w:color w:val="auto"/>
              </w:rPr>
            </w:pPr>
            <w:r w:rsidRPr="009E5F29">
              <w:rPr>
                <w:rFonts w:cs="Arial"/>
                <w:color w:val="auto"/>
              </w:rPr>
              <w:t> The importance of nurture for the development of wellbeing</w:t>
            </w:r>
          </w:p>
          <w:p w14:paraId="65DB2806" w14:textId="77777777" w:rsidR="009E5F29" w:rsidRPr="009E5F29" w:rsidRDefault="009E5F29" w:rsidP="009E5F29">
            <w:pPr>
              <w:numPr>
                <w:ilvl w:val="0"/>
                <w:numId w:val="14"/>
              </w:numPr>
              <w:suppressAutoHyphens w:val="0"/>
              <w:autoSpaceDN/>
              <w:spacing w:before="100" w:beforeAutospacing="1" w:after="0" w:line="240" w:lineRule="auto"/>
              <w:rPr>
                <w:rFonts w:cs="Arial"/>
                <w:color w:val="auto"/>
              </w:rPr>
            </w:pPr>
            <w:r w:rsidRPr="009E5F29">
              <w:rPr>
                <w:rFonts w:cs="Arial"/>
                <w:color w:val="auto"/>
              </w:rPr>
              <w:t> Language is a vital means of communication</w:t>
            </w:r>
          </w:p>
          <w:p w14:paraId="239B6804" w14:textId="77777777" w:rsidR="009E5F29" w:rsidRPr="009E5F29" w:rsidRDefault="009E5F29" w:rsidP="009E5F29">
            <w:pPr>
              <w:numPr>
                <w:ilvl w:val="0"/>
                <w:numId w:val="14"/>
              </w:numPr>
              <w:suppressAutoHyphens w:val="0"/>
              <w:autoSpaceDN/>
              <w:spacing w:before="100" w:beforeAutospacing="1" w:after="0" w:line="240" w:lineRule="auto"/>
              <w:rPr>
                <w:rFonts w:cs="Arial"/>
                <w:color w:val="auto"/>
              </w:rPr>
            </w:pPr>
            <w:r w:rsidRPr="009E5F29">
              <w:rPr>
                <w:rFonts w:cs="Arial"/>
                <w:color w:val="auto"/>
              </w:rPr>
              <w:t> All behaviour is communication</w:t>
            </w:r>
          </w:p>
          <w:p w14:paraId="2C7B5247" w14:textId="5747E895" w:rsidR="009E5F29" w:rsidRDefault="009E5F29" w:rsidP="009E5F29">
            <w:pPr>
              <w:numPr>
                <w:ilvl w:val="0"/>
                <w:numId w:val="14"/>
              </w:numPr>
              <w:suppressAutoHyphens w:val="0"/>
              <w:autoSpaceDN/>
              <w:spacing w:before="100" w:beforeAutospacing="1" w:after="0" w:line="240" w:lineRule="auto"/>
              <w:rPr>
                <w:rFonts w:cs="Arial"/>
                <w:color w:val="auto"/>
              </w:rPr>
            </w:pPr>
            <w:r w:rsidRPr="009E5F29">
              <w:rPr>
                <w:rFonts w:cs="Arial"/>
                <w:color w:val="auto"/>
              </w:rPr>
              <w:t> The importance of transition in children's lives</w:t>
            </w:r>
          </w:p>
          <w:p w14:paraId="7CB28B18" w14:textId="6C1744F5" w:rsidR="00C840B9" w:rsidRDefault="00C840B9" w:rsidP="00C840B9">
            <w:pPr>
              <w:suppressAutoHyphens w:val="0"/>
              <w:autoSpaceDN/>
              <w:spacing w:before="100" w:beforeAutospacing="1" w:after="0" w:line="240" w:lineRule="auto"/>
              <w:rPr>
                <w:rFonts w:cs="Arial"/>
                <w:color w:val="auto"/>
              </w:rPr>
            </w:pPr>
            <w:r w:rsidRPr="00C840B9">
              <w:rPr>
                <w:rFonts w:cs="Arial"/>
                <w:color w:val="auto"/>
              </w:rPr>
              <w:drawing>
                <wp:inline distT="0" distB="0" distL="0" distR="0" wp14:anchorId="53BD6C1B" wp14:editId="6D89AEAF">
                  <wp:extent cx="5581650" cy="3105292"/>
                  <wp:effectExtent l="0" t="0" r="0" b="0"/>
                  <wp:docPr id="2050" name="Picture 2" descr="https://ukc-powerpoint.officeapps.live.com/pods/GetClipboardImage.ashx?Id=aee209f8-21b0-4856-8e37-cfed31317660&amp;DC=GUK3&amp;pkey=9087b59b-bc40-405c-a94c-64d5cd1b7c33&amp;wdwaccluster=GU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ukc-powerpoint.officeapps.live.com/pods/GetClipboardImage.ashx?Id=aee209f8-21b0-4856-8e37-cfed31317660&amp;DC=GUK3&amp;pkey=9087b59b-bc40-405c-a94c-64d5cd1b7c33&amp;wdwaccluster=GUK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5317" cy="3107332"/>
                          </a:xfrm>
                          <a:prstGeom prst="rect">
                            <a:avLst/>
                          </a:prstGeom>
                          <a:noFill/>
                          <a:extLst/>
                        </pic:spPr>
                      </pic:pic>
                    </a:graphicData>
                  </a:graphic>
                </wp:inline>
              </w:drawing>
            </w:r>
          </w:p>
          <w:p w14:paraId="4B7E1300" w14:textId="3C858F1A" w:rsidR="009E5F29" w:rsidRPr="009E5F29" w:rsidRDefault="009E5F29" w:rsidP="009E5F29">
            <w:pPr>
              <w:suppressAutoHyphens w:val="0"/>
              <w:autoSpaceDN/>
              <w:spacing w:before="100" w:beforeAutospacing="1" w:after="0" w:line="240" w:lineRule="auto"/>
              <w:ind w:left="720"/>
              <w:rPr>
                <w:rFonts w:cs="Arial"/>
                <w:color w:val="auto"/>
              </w:rPr>
            </w:pPr>
          </w:p>
          <w:p w14:paraId="4EFAF389" w14:textId="60694653" w:rsidR="000646E9" w:rsidRPr="009E5F29" w:rsidRDefault="001C484D">
            <w:pPr>
              <w:spacing w:before="120"/>
              <w:rPr>
                <w:i/>
                <w:iCs/>
              </w:rPr>
            </w:pPr>
            <w:r w:rsidRPr="009E5F29">
              <w:rPr>
                <w:i/>
                <w:iCs/>
              </w:rPr>
              <w:t>The pupils at MSPRU have either been permanently excluded from main stream schools or are at risk of being so.  Many have complex additional needs, many have gaps in learning due to frequent or extended time out of education. Many arrive at MSPRU highly anxious due to the stress of being excluded. Pupils arrive with us throughout the academic year.</w:t>
            </w:r>
          </w:p>
          <w:p w14:paraId="6F5AFF27" w14:textId="1AA93C0B" w:rsidR="001C484D" w:rsidRPr="009E5F29" w:rsidRDefault="001C484D">
            <w:pPr>
              <w:spacing w:before="120"/>
              <w:rPr>
                <w:i/>
                <w:iCs/>
              </w:rPr>
            </w:pPr>
            <w:r w:rsidRPr="009E5F29">
              <w:rPr>
                <w:i/>
                <w:iCs/>
              </w:rPr>
              <w:t>Our objective for pupil premium funding is to address these issues (academic and personal/social) and develop the pupil to the best possible position when they move to the next phase of their life / education. This requires a holistic approach and may integrate other agencies.</w:t>
            </w:r>
          </w:p>
          <w:p w14:paraId="69713F05" w14:textId="7EBD7380" w:rsidR="00E60B9C" w:rsidRPr="009E5F29" w:rsidRDefault="00E60B9C">
            <w:pPr>
              <w:spacing w:before="120"/>
              <w:rPr>
                <w:i/>
                <w:iCs/>
              </w:rPr>
            </w:pPr>
            <w:r w:rsidRPr="009E5F29">
              <w:rPr>
                <w:i/>
                <w:iCs/>
              </w:rPr>
              <w:t>Interventions may be whole school, whole class or individual. It may include pupils who are not entitled to PPG.</w:t>
            </w:r>
          </w:p>
          <w:p w14:paraId="5B628971" w14:textId="593C4BC3" w:rsidR="00E60B9C" w:rsidRPr="009E5F29" w:rsidRDefault="00E60B9C">
            <w:pPr>
              <w:spacing w:before="120"/>
              <w:rPr>
                <w:i/>
                <w:iCs/>
              </w:rPr>
            </w:pPr>
            <w:r w:rsidRPr="009E5F29">
              <w:rPr>
                <w:i/>
                <w:iCs/>
              </w:rPr>
              <w:lastRenderedPageBreak/>
              <w:t>Funding will be used to remove any barriers to learning/development.</w:t>
            </w:r>
          </w:p>
          <w:p w14:paraId="35CDB22F" w14:textId="147DBC28" w:rsidR="00E60B9C" w:rsidRPr="009E5F29" w:rsidRDefault="00E60B9C">
            <w:pPr>
              <w:spacing w:before="120"/>
              <w:rPr>
                <w:i/>
                <w:iCs/>
              </w:rPr>
            </w:pPr>
            <w:r w:rsidRPr="009E5F29">
              <w:rPr>
                <w:i/>
                <w:iCs/>
              </w:rPr>
              <w:t>We will continue using this funding in the next year for the same purposes, integrating it with other school developments.</w:t>
            </w:r>
          </w:p>
          <w:p w14:paraId="2A7D54E9" w14:textId="14499AEF" w:rsidR="00E66558" w:rsidRDefault="00E66558" w:rsidP="00E60B9C">
            <w:pPr>
              <w:pStyle w:val="ListParagraph"/>
              <w:numPr>
                <w:ilvl w:val="0"/>
                <w:numId w:val="0"/>
              </w:numPr>
              <w:ind w:left="72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C795B" w:rsidRDefault="009D71E8">
            <w:pPr>
              <w:pStyle w:val="TableRow"/>
              <w:rPr>
                <w:sz w:val="22"/>
                <w:szCs w:val="22"/>
              </w:rPr>
            </w:pPr>
            <w:r w:rsidRPr="003C795B">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79E77" w:rsidR="00E66558" w:rsidRPr="003C795B" w:rsidRDefault="000646E9">
            <w:pPr>
              <w:pStyle w:val="TableRowCentered"/>
              <w:jc w:val="left"/>
            </w:pPr>
            <w:r w:rsidRPr="003C795B">
              <w:rPr>
                <w:iCs/>
                <w:sz w:val="22"/>
                <w:szCs w:val="22"/>
              </w:rPr>
              <w:t>Our population changes over the year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C795B" w:rsidRDefault="009D71E8">
            <w:pPr>
              <w:pStyle w:val="TableRow"/>
              <w:rPr>
                <w:sz w:val="22"/>
                <w:szCs w:val="22"/>
              </w:rPr>
            </w:pPr>
            <w:r w:rsidRPr="003C795B">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C4CD43" w:rsidR="00E66558" w:rsidRPr="003C795B" w:rsidRDefault="000646E9">
            <w:pPr>
              <w:pStyle w:val="TableRowCentered"/>
              <w:jc w:val="left"/>
              <w:rPr>
                <w:sz w:val="22"/>
                <w:szCs w:val="22"/>
              </w:rPr>
            </w:pPr>
            <w:r w:rsidRPr="003C795B">
              <w:rPr>
                <w:sz w:val="22"/>
                <w:szCs w:val="22"/>
              </w:rPr>
              <w:t>Repeated transitions for pupil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40E5592" w:rsidR="00E66558" w:rsidRDefault="000646E9" w:rsidP="000646E9">
            <w:pPr>
              <w:pStyle w:val="TableRowCentered"/>
              <w:ind w:left="0"/>
              <w:jc w:val="left"/>
              <w:rPr>
                <w:sz w:val="22"/>
                <w:szCs w:val="22"/>
              </w:rPr>
            </w:pPr>
            <w:r>
              <w:rPr>
                <w:sz w:val="22"/>
                <w:szCs w:val="22"/>
              </w:rPr>
              <w:t>Lower than expected attendance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25E1" w14:textId="77777777" w:rsidR="00BF5E19" w:rsidRPr="00BF5E19" w:rsidRDefault="00BF5E19" w:rsidP="00BF5E19">
            <w:pPr>
              <w:spacing w:after="0"/>
              <w:jc w:val="both"/>
              <w:rPr>
                <w:rFonts w:cs="Arial"/>
                <w:color w:val="auto"/>
                <w:sz w:val="22"/>
                <w:szCs w:val="22"/>
              </w:rPr>
            </w:pPr>
            <w:r w:rsidRPr="00BF5E19">
              <w:rPr>
                <w:rStyle w:val="PlaceholderText"/>
                <w:rFonts w:cs="Arial"/>
                <w:color w:val="auto"/>
                <w:sz w:val="22"/>
                <w:szCs w:val="22"/>
              </w:rPr>
              <w:t xml:space="preserve">Increased numbers of pupils with complex needs, including speech and language, social communication, poor working memory, attention difficulties, motor skills, social emotional and mental health. </w:t>
            </w:r>
            <w:r w:rsidRPr="00BF5E19">
              <w:rPr>
                <w:rFonts w:cs="Arial"/>
                <w:color w:val="auto"/>
                <w:sz w:val="22"/>
                <w:szCs w:val="22"/>
              </w:rPr>
              <w:t xml:space="preserve">Children Social Emotional Mental Health is a barrier as children struggle to engage regulate and have the resilience to tolerate challenge in their academic work. </w:t>
            </w:r>
          </w:p>
          <w:p w14:paraId="124F762B" w14:textId="77777777" w:rsidR="00BF5E19" w:rsidRPr="00BF5E19" w:rsidRDefault="00BF5E19" w:rsidP="00BF5E19">
            <w:pPr>
              <w:spacing w:after="0"/>
              <w:jc w:val="both"/>
              <w:rPr>
                <w:rFonts w:cs="Arial"/>
                <w:color w:val="auto"/>
                <w:sz w:val="22"/>
                <w:szCs w:val="22"/>
              </w:rPr>
            </w:pPr>
          </w:p>
          <w:p w14:paraId="7FB68098" w14:textId="1E0747ED" w:rsidR="00BF5E19" w:rsidRPr="00BF5E19" w:rsidRDefault="00BF5E19" w:rsidP="00BF5E19">
            <w:pPr>
              <w:spacing w:after="0"/>
              <w:jc w:val="both"/>
              <w:rPr>
                <w:rFonts w:cs="Arial"/>
                <w:color w:val="auto"/>
                <w:sz w:val="22"/>
                <w:szCs w:val="22"/>
              </w:rPr>
            </w:pPr>
            <w:r w:rsidRPr="00BF5E19">
              <w:rPr>
                <w:rFonts w:cs="Arial"/>
                <w:color w:val="auto"/>
                <w:sz w:val="22"/>
                <w:szCs w:val="22"/>
              </w:rPr>
              <w:t>Children have often had very negative experiences of</w:t>
            </w:r>
            <w:r w:rsidRPr="00BF5E19">
              <w:rPr>
                <w:rFonts w:cs="Arial"/>
                <w:color w:val="auto"/>
                <w:sz w:val="22"/>
                <w:szCs w:val="22"/>
              </w:rPr>
              <w:t xml:space="preserve"> education and come to MPSRU</w:t>
            </w:r>
            <w:r w:rsidRPr="00BF5E19">
              <w:rPr>
                <w:rFonts w:cs="Arial"/>
                <w:color w:val="auto"/>
                <w:sz w:val="22"/>
                <w:szCs w:val="22"/>
              </w:rPr>
              <w:t xml:space="preserve"> with incredibly low self-esteem and a spiky profile of missed learning. Children with diagnosis of ADHD have low levels of concentration and have poor listening and attention skills.</w:t>
            </w:r>
          </w:p>
          <w:p w14:paraId="17704939" w14:textId="77777777" w:rsidR="00BF5E19" w:rsidRPr="00BF5E19" w:rsidRDefault="00BF5E19" w:rsidP="00BF5E19">
            <w:pPr>
              <w:spacing w:after="0"/>
              <w:jc w:val="both"/>
              <w:rPr>
                <w:rFonts w:cs="Arial"/>
                <w:color w:val="auto"/>
                <w:sz w:val="22"/>
                <w:szCs w:val="22"/>
              </w:rPr>
            </w:pPr>
          </w:p>
          <w:p w14:paraId="2A7D54FA" w14:textId="0B99143F" w:rsidR="00E66558" w:rsidRPr="00BF5E19" w:rsidRDefault="00BF5E19" w:rsidP="00BF5E19">
            <w:pPr>
              <w:pStyle w:val="TableRowCentered"/>
              <w:jc w:val="left"/>
              <w:rPr>
                <w:iCs/>
                <w:sz w:val="22"/>
                <w:szCs w:val="22"/>
              </w:rPr>
            </w:pPr>
            <w:r w:rsidRPr="00BF5E19">
              <w:rPr>
                <w:rFonts w:cs="Arial"/>
                <w:color w:val="auto"/>
                <w:sz w:val="22"/>
                <w:szCs w:val="22"/>
              </w:rPr>
              <w:t xml:space="preserve">Children at MSPRU </w:t>
            </w:r>
            <w:r w:rsidRPr="00BF5E19">
              <w:rPr>
                <w:rFonts w:cs="Arial"/>
                <w:color w:val="auto"/>
                <w:sz w:val="22"/>
                <w:szCs w:val="22"/>
              </w:rPr>
              <w:t>often have undiagnosed Speech, Language and Communication Needs. Communication is a barrier to learning for our pupils and we recognize that all behaviour is communication. Trying to understand this behaviour and support our children to communicate and develop their underlying communication needs supports pupils to make progress. Often this has been the driver of their SEMH behaviours in mains</w:t>
            </w:r>
            <w:r w:rsidRPr="00BF5E19">
              <w:rPr>
                <w:rFonts w:cs="Arial"/>
                <w:color w:val="auto"/>
                <w:sz w:val="22"/>
                <w:szCs w:val="22"/>
              </w:rPr>
              <w:t>tream. Once settled at MPSRU,</w:t>
            </w:r>
            <w:r w:rsidRPr="00BF5E19">
              <w:rPr>
                <w:rFonts w:cs="Arial"/>
                <w:color w:val="auto"/>
                <w:sz w:val="22"/>
                <w:szCs w:val="22"/>
              </w:rPr>
              <w:t xml:space="preserve"> their SLCN needs are apparent and are assessed by a Speech and Language Therapists. Staff are trained to support children to develop SLCN so that they can make progress both socially and academically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9E55922" w:rsidR="00E66558" w:rsidRDefault="000646E9">
            <w:pPr>
              <w:pStyle w:val="TableRowCentered"/>
              <w:jc w:val="left"/>
              <w:rPr>
                <w:iCs/>
                <w:sz w:val="22"/>
              </w:rPr>
            </w:pPr>
            <w:r>
              <w:rPr>
                <w:iCs/>
                <w:sz w:val="22"/>
              </w:rPr>
              <w:t>Narrowness of curriculum and is it the most appropriate curriculum</w:t>
            </w:r>
          </w:p>
        </w:tc>
      </w:tr>
      <w:tr w:rsidR="000646E9" w14:paraId="1B1354E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35FC" w14:textId="40E38809" w:rsidR="000646E9" w:rsidRDefault="000646E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DA31" w14:textId="4FA5A9FF" w:rsidR="000646E9" w:rsidRDefault="000646E9">
            <w:pPr>
              <w:pStyle w:val="TableRowCentered"/>
              <w:jc w:val="left"/>
              <w:rPr>
                <w:iCs/>
                <w:sz w:val="22"/>
              </w:rPr>
            </w:pPr>
            <w:r>
              <w:rPr>
                <w:iCs/>
                <w:sz w:val="22"/>
              </w:rPr>
              <w:t>High number of LAC pupils</w:t>
            </w:r>
          </w:p>
        </w:tc>
      </w:tr>
      <w:tr w:rsidR="000646E9" w14:paraId="7EC9D2C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EAA7" w14:textId="43930FF5" w:rsidR="000646E9" w:rsidRDefault="000646E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00B4" w14:textId="549E40C0" w:rsidR="000646E9" w:rsidRDefault="000646E9">
            <w:pPr>
              <w:pStyle w:val="TableRowCentered"/>
              <w:jc w:val="left"/>
              <w:rPr>
                <w:iCs/>
                <w:sz w:val="22"/>
              </w:rPr>
            </w:pPr>
            <w:r>
              <w:rPr>
                <w:iCs/>
                <w:sz w:val="22"/>
              </w:rPr>
              <w:t>High number of EHCP and individual needs</w:t>
            </w:r>
          </w:p>
        </w:tc>
      </w:tr>
      <w:tr w:rsidR="003C795B" w14:paraId="29FED62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133E7" w14:textId="313A60B5" w:rsidR="003C795B" w:rsidRDefault="003C795B">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F7CA" w14:textId="5A6B2663" w:rsidR="003C795B" w:rsidRDefault="003C795B" w:rsidP="003C795B">
            <w:pPr>
              <w:pStyle w:val="TableRowCentered"/>
              <w:jc w:val="left"/>
              <w:rPr>
                <w:iCs/>
                <w:sz w:val="22"/>
              </w:rPr>
            </w:pPr>
            <w:r>
              <w:rPr>
                <w:iCs/>
                <w:sz w:val="22"/>
              </w:rPr>
              <w:t xml:space="preserve">Post </w:t>
            </w:r>
            <w:proofErr w:type="spellStart"/>
            <w:r>
              <w:rPr>
                <w:iCs/>
                <w:sz w:val="22"/>
              </w:rPr>
              <w:t>covid</w:t>
            </w:r>
            <w:proofErr w:type="spellEnd"/>
            <w:r>
              <w:rPr>
                <w:iCs/>
                <w:sz w:val="22"/>
              </w:rPr>
              <w:t xml:space="preserve"> concerns regarding mental health of many students and staff</w:t>
            </w:r>
          </w:p>
        </w:tc>
      </w:tr>
      <w:tr w:rsidR="00CB5ADC" w14:paraId="2D6FB4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4AB1" w14:textId="32276A7E" w:rsidR="00CB5ADC" w:rsidRDefault="00CB5ADC" w:rsidP="00CB5ADC">
            <w:pPr>
              <w:pStyle w:val="TableRow"/>
              <w:rPr>
                <w:sz w:val="22"/>
                <w:szCs w:val="22"/>
              </w:rPr>
            </w:pPr>
            <w:r>
              <w:rPr>
                <w:sz w:val="22"/>
                <w:szCs w:val="22"/>
              </w:rPr>
              <w:t xml:space="preserve">9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400B" w14:textId="27801070" w:rsidR="00CB5ADC" w:rsidRDefault="00CB5ADC" w:rsidP="003C795B">
            <w:pPr>
              <w:pStyle w:val="TableRowCentered"/>
              <w:jc w:val="left"/>
              <w:rPr>
                <w:iCs/>
                <w:sz w:val="22"/>
              </w:rPr>
            </w:pPr>
            <w:r>
              <w:rPr>
                <w:sz w:val="22"/>
                <w:szCs w:val="22"/>
              </w:rPr>
              <w:t xml:space="preserve">Gaps in learning and learning deficit due to absences from education </w:t>
            </w:r>
            <w:r w:rsidR="006D5949">
              <w:rPr>
                <w:sz w:val="22"/>
                <w:szCs w:val="22"/>
              </w:rPr>
              <w:t>e.g.</w:t>
            </w:r>
            <w:r>
              <w:rPr>
                <w:sz w:val="22"/>
                <w:szCs w:val="22"/>
              </w:rPr>
              <w:t xml:space="preserve"> exclusions</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4ABA4BB" w:rsidR="00E66558" w:rsidRPr="003C795B" w:rsidRDefault="000646E9">
            <w:pPr>
              <w:pStyle w:val="TableRow"/>
            </w:pPr>
            <w:r w:rsidRPr="003C795B">
              <w:rPr>
                <w:iCs/>
                <w:sz w:val="22"/>
                <w:szCs w:val="22"/>
              </w:rPr>
              <w:t>Improved exam results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C02EB2A" w:rsidR="00E66558" w:rsidRDefault="00FA56C5">
            <w:pPr>
              <w:pStyle w:val="TableRowCentered"/>
              <w:jc w:val="left"/>
              <w:rPr>
                <w:sz w:val="22"/>
                <w:szCs w:val="22"/>
              </w:rPr>
            </w:pPr>
            <w:r>
              <w:rPr>
                <w:sz w:val="22"/>
                <w:szCs w:val="22"/>
              </w:rPr>
              <w:t>Higher average point score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EAD99ED" w:rsidR="00E66558" w:rsidRDefault="000646E9">
            <w:pPr>
              <w:pStyle w:val="TableRow"/>
              <w:rPr>
                <w:sz w:val="22"/>
                <w:szCs w:val="22"/>
              </w:rPr>
            </w:pPr>
            <w:r>
              <w:rPr>
                <w:sz w:val="22"/>
                <w:szCs w:val="22"/>
              </w:rPr>
              <w:t>R</w:t>
            </w:r>
            <w:r w:rsidR="00FA56C5">
              <w:rPr>
                <w:sz w:val="22"/>
                <w:szCs w:val="22"/>
              </w:rPr>
              <w:t xml:space="preserve">educed or improved transitions </w:t>
            </w:r>
            <w:r>
              <w:rPr>
                <w:sz w:val="22"/>
                <w:szCs w:val="22"/>
              </w:rPr>
              <w:t>f</w:t>
            </w:r>
            <w:r w:rsidR="00FA56C5">
              <w:rPr>
                <w:sz w:val="22"/>
                <w:szCs w:val="22"/>
              </w:rPr>
              <w:t>o</w:t>
            </w:r>
            <w:r>
              <w:rPr>
                <w:sz w:val="22"/>
                <w:szCs w:val="22"/>
              </w:rPr>
              <w:t>r pu</w:t>
            </w:r>
            <w:r w:rsidR="00FA56C5">
              <w:rPr>
                <w:sz w:val="22"/>
                <w:szCs w:val="22"/>
              </w:rPr>
              <w:t>p</w:t>
            </w:r>
            <w:r>
              <w:rPr>
                <w:sz w:val="22"/>
                <w:szCs w:val="22"/>
              </w:rPr>
              <w:t>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5F11312" w:rsidR="00E66558" w:rsidRDefault="000646E9">
            <w:pPr>
              <w:pStyle w:val="TableRowCentered"/>
              <w:jc w:val="left"/>
              <w:rPr>
                <w:sz w:val="22"/>
                <w:szCs w:val="22"/>
              </w:rPr>
            </w:pPr>
            <w:r>
              <w:rPr>
                <w:sz w:val="22"/>
                <w:szCs w:val="22"/>
              </w:rPr>
              <w:t>Fewer transition</w:t>
            </w:r>
            <w:r w:rsidR="00BF5E19">
              <w:rPr>
                <w:sz w:val="22"/>
                <w:szCs w:val="22"/>
              </w:rPr>
              <w:t>s</w:t>
            </w:r>
            <w:r>
              <w:rPr>
                <w:sz w:val="22"/>
                <w:szCs w:val="22"/>
              </w:rPr>
              <w:t xml:space="preserve"> taking place.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2183D5B" w:rsidR="00E66558" w:rsidRDefault="00FA56C5">
            <w:pPr>
              <w:pStyle w:val="TableRowCentered"/>
              <w:jc w:val="left"/>
              <w:rPr>
                <w:sz w:val="22"/>
                <w:szCs w:val="22"/>
              </w:rPr>
            </w:pPr>
            <w:r>
              <w:rPr>
                <w:sz w:val="22"/>
                <w:szCs w:val="22"/>
              </w:rPr>
              <w:t>Improved</w:t>
            </w:r>
            <w:r w:rsidR="000646E9">
              <w:rPr>
                <w:sz w:val="22"/>
                <w:szCs w:val="22"/>
              </w:rPr>
              <w:t xml:space="preserve"> parental and pupil feedback regarding transitions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247CB06" w:rsidR="00E66558" w:rsidRDefault="00FA56C5">
            <w:pPr>
              <w:pStyle w:val="TableRow"/>
              <w:rPr>
                <w:sz w:val="22"/>
                <w:szCs w:val="22"/>
              </w:rPr>
            </w:pPr>
            <w:r>
              <w:rPr>
                <w:sz w:val="22"/>
                <w:szCs w:val="22"/>
              </w:rPr>
              <w:t>Improved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9613B" w14:textId="5B9B34B6" w:rsidR="00BF5E19" w:rsidRDefault="00BF5E19">
            <w:pPr>
              <w:pStyle w:val="TableRowCentered"/>
              <w:jc w:val="left"/>
              <w:rPr>
                <w:sz w:val="22"/>
                <w:szCs w:val="22"/>
              </w:rPr>
            </w:pPr>
            <w:r w:rsidRPr="0A8617E2">
              <w:rPr>
                <w:rFonts w:cs="Arial"/>
                <w:color w:val="auto"/>
                <w:sz w:val="21"/>
                <w:szCs w:val="21"/>
              </w:rPr>
              <w:t>Attendance of identified PP pupils increases and the gap between PP and non PP narrows. (Attendance Tracker)</w:t>
            </w:r>
          </w:p>
          <w:p w14:paraId="49808E92" w14:textId="3DE7EB44" w:rsidR="00FA56C5" w:rsidRDefault="00FA56C5">
            <w:pPr>
              <w:pStyle w:val="TableRowCentered"/>
              <w:jc w:val="left"/>
              <w:rPr>
                <w:sz w:val="22"/>
                <w:szCs w:val="22"/>
              </w:rPr>
            </w:pPr>
            <w:r>
              <w:rPr>
                <w:sz w:val="22"/>
                <w:szCs w:val="22"/>
              </w:rPr>
              <w:t>Increased present marks,</w:t>
            </w:r>
          </w:p>
          <w:p w14:paraId="1AE1D021" w14:textId="51BDC9AB" w:rsidR="00FA56C5" w:rsidRDefault="00FA56C5">
            <w:pPr>
              <w:pStyle w:val="TableRowCentered"/>
              <w:jc w:val="left"/>
              <w:rPr>
                <w:sz w:val="22"/>
                <w:szCs w:val="22"/>
              </w:rPr>
            </w:pPr>
            <w:r>
              <w:rPr>
                <w:sz w:val="22"/>
                <w:szCs w:val="22"/>
              </w:rPr>
              <w:t>Identification of factors effecting attendance and action plan to address</w:t>
            </w:r>
          </w:p>
          <w:p w14:paraId="7F630B41" w14:textId="7C9A6DB7" w:rsidR="00FA56C5" w:rsidRDefault="00FA56C5">
            <w:pPr>
              <w:pStyle w:val="TableRowCentered"/>
              <w:jc w:val="left"/>
              <w:rPr>
                <w:sz w:val="22"/>
                <w:szCs w:val="22"/>
              </w:rPr>
            </w:pPr>
            <w:r>
              <w:rPr>
                <w:sz w:val="22"/>
                <w:szCs w:val="22"/>
              </w:rPr>
              <w:t xml:space="preserve">Reduced % exclusions, </w:t>
            </w:r>
          </w:p>
          <w:p w14:paraId="2A7D550E" w14:textId="07E296E0" w:rsidR="00E66558" w:rsidRDefault="00FA56C5">
            <w:pPr>
              <w:pStyle w:val="TableRowCentered"/>
              <w:jc w:val="left"/>
              <w:rPr>
                <w:sz w:val="22"/>
                <w:szCs w:val="22"/>
              </w:rPr>
            </w:pPr>
            <w:r>
              <w:rPr>
                <w:sz w:val="22"/>
                <w:szCs w:val="22"/>
              </w:rPr>
              <w:t>reduced % C code</w:t>
            </w:r>
          </w:p>
        </w:tc>
      </w:tr>
      <w:tr w:rsidR="00FA56C5" w14:paraId="0632C7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F809" w14:textId="4E5F39B3" w:rsidR="00FA56C5" w:rsidRDefault="00BF5E19">
            <w:pPr>
              <w:pStyle w:val="TableRow"/>
              <w:rPr>
                <w:sz w:val="22"/>
                <w:szCs w:val="22"/>
              </w:rPr>
            </w:pPr>
            <w:r w:rsidRPr="6FA8249C">
              <w:rPr>
                <w:rFonts w:cs="Arial"/>
                <w:color w:val="auto"/>
                <w:sz w:val="21"/>
                <w:szCs w:val="21"/>
              </w:rPr>
              <w:t>Pupils access a wide range of enrichment experiences both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2525" w14:textId="77777777" w:rsidR="00FA56C5" w:rsidRDefault="00FA56C5">
            <w:pPr>
              <w:pStyle w:val="TableRowCentered"/>
              <w:jc w:val="left"/>
              <w:rPr>
                <w:sz w:val="22"/>
                <w:szCs w:val="22"/>
              </w:rPr>
            </w:pPr>
            <w:r>
              <w:rPr>
                <w:sz w:val="22"/>
                <w:szCs w:val="22"/>
              </w:rPr>
              <w:t>Improved curriculum offer</w:t>
            </w:r>
          </w:p>
          <w:p w14:paraId="46291CA3" w14:textId="77777777" w:rsidR="00FA56C5" w:rsidRDefault="00FA56C5">
            <w:pPr>
              <w:pStyle w:val="TableRowCentered"/>
              <w:jc w:val="left"/>
              <w:rPr>
                <w:sz w:val="22"/>
                <w:szCs w:val="22"/>
              </w:rPr>
            </w:pPr>
            <w:r>
              <w:rPr>
                <w:sz w:val="22"/>
                <w:szCs w:val="22"/>
              </w:rPr>
              <w:t>Increased pupil engagement</w:t>
            </w:r>
          </w:p>
          <w:p w14:paraId="5A3A35E7" w14:textId="3BE358D5" w:rsidR="003C795B" w:rsidRDefault="003C795B">
            <w:pPr>
              <w:pStyle w:val="TableRowCentered"/>
              <w:jc w:val="left"/>
              <w:rPr>
                <w:sz w:val="22"/>
                <w:szCs w:val="22"/>
              </w:rPr>
            </w:pPr>
            <w:r>
              <w:rPr>
                <w:sz w:val="22"/>
                <w:szCs w:val="22"/>
              </w:rPr>
              <w:t>Appropriate curriculum offer for all students</w:t>
            </w:r>
          </w:p>
        </w:tc>
      </w:tr>
      <w:tr w:rsidR="003C795B" w14:paraId="467996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8730" w14:textId="5D57D65B" w:rsidR="003C795B" w:rsidRDefault="003C795B">
            <w:pPr>
              <w:pStyle w:val="TableRow"/>
              <w:rPr>
                <w:sz w:val="22"/>
                <w:szCs w:val="22"/>
              </w:rPr>
            </w:pPr>
            <w:r>
              <w:rPr>
                <w:sz w:val="22"/>
                <w:szCs w:val="22"/>
              </w:rPr>
              <w:t>Review of support to pupils and staff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01E5" w14:textId="067EB288" w:rsidR="003C795B" w:rsidRDefault="003C795B">
            <w:pPr>
              <w:pStyle w:val="TableRowCentered"/>
              <w:jc w:val="left"/>
              <w:rPr>
                <w:sz w:val="22"/>
                <w:szCs w:val="22"/>
              </w:rPr>
            </w:pPr>
            <w:r>
              <w:rPr>
                <w:sz w:val="22"/>
                <w:szCs w:val="22"/>
              </w:rPr>
              <w:t xml:space="preserve">Action plan developed and implementation started to identify and resolve mental health and </w:t>
            </w:r>
            <w:r w:rsidR="006D5949">
              <w:rPr>
                <w:sz w:val="22"/>
                <w:szCs w:val="22"/>
              </w:rPr>
              <w:t>wellbeing</w:t>
            </w:r>
            <w:r>
              <w:rPr>
                <w:sz w:val="22"/>
                <w:szCs w:val="22"/>
              </w:rPr>
              <w:t xml:space="preserve"> issues in students and staff</w:t>
            </w:r>
          </w:p>
        </w:tc>
      </w:tr>
      <w:tr w:rsidR="00CB5ADC" w14:paraId="02EEC04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BEA2" w14:textId="0A75F9F1" w:rsidR="00CB5ADC" w:rsidRDefault="00CB5ADC">
            <w:pPr>
              <w:pStyle w:val="TableRow"/>
              <w:rPr>
                <w:sz w:val="22"/>
                <w:szCs w:val="22"/>
              </w:rPr>
            </w:pPr>
            <w:r>
              <w:rPr>
                <w:sz w:val="22"/>
                <w:szCs w:val="22"/>
              </w:rPr>
              <w:t>“Narrowing the gap”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E04E7" w14:textId="423E246C" w:rsidR="00CB5ADC" w:rsidRDefault="00CB5ADC">
            <w:pPr>
              <w:pStyle w:val="TableRowCentered"/>
              <w:jc w:val="left"/>
              <w:rPr>
                <w:sz w:val="22"/>
                <w:szCs w:val="22"/>
              </w:rPr>
            </w:pPr>
            <w:r>
              <w:rPr>
                <w:sz w:val="22"/>
                <w:szCs w:val="22"/>
              </w:rPr>
              <w:t>Evidence of progress above forecast / expected level</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10EB31" w:rsidR="00E66558" w:rsidRDefault="009D71E8">
      <w:r>
        <w:t xml:space="preserve">Budgeted cost: £ </w:t>
      </w:r>
      <w:r w:rsidR="00CB5ADC">
        <w:rPr>
          <w:i/>
          <w:iCs/>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6CA275F" w:rsidR="00E66558" w:rsidRDefault="003C795B">
            <w:pPr>
              <w:pStyle w:val="TableRow"/>
            </w:pPr>
            <w:r>
              <w:rPr>
                <w:i/>
                <w:iCs/>
                <w:sz w:val="22"/>
                <w:szCs w:val="22"/>
              </w:rPr>
              <w:t>CPD on pupil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F42A99C" w:rsidR="00E66558" w:rsidRDefault="000F2923">
            <w:pPr>
              <w:pStyle w:val="TableRowCentered"/>
              <w:jc w:val="left"/>
              <w:rPr>
                <w:sz w:val="22"/>
              </w:rPr>
            </w:pPr>
            <w:r>
              <w:rPr>
                <w:sz w:val="22"/>
              </w:rPr>
              <w:t>Various EEF research work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1E5F095" w:rsidR="00E66558" w:rsidRDefault="003C795B">
            <w:pPr>
              <w:pStyle w:val="TableRowCentered"/>
              <w:jc w:val="left"/>
              <w:rPr>
                <w:sz w:val="22"/>
              </w:rPr>
            </w:pPr>
            <w:r>
              <w:rPr>
                <w:sz w:val="22"/>
              </w:rPr>
              <w:t>6,7,8</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003CFA0" w:rsidR="00E66558" w:rsidRPr="00BD0B9F" w:rsidRDefault="00C5641C">
            <w:pPr>
              <w:pStyle w:val="TableRow"/>
              <w:rPr>
                <w:i/>
                <w:color w:val="auto"/>
                <w:sz w:val="22"/>
              </w:rPr>
            </w:pPr>
            <w:r w:rsidRPr="00BD0B9F">
              <w:rPr>
                <w:i/>
                <w:color w:val="auto"/>
                <w:sz w:val="22"/>
              </w:rPr>
              <w:t>EKLAN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DD07A95" w:rsidR="00E66558" w:rsidRPr="00BD0B9F" w:rsidRDefault="0045645A">
            <w:pPr>
              <w:pStyle w:val="TableRowCentered"/>
              <w:jc w:val="left"/>
              <w:rPr>
                <w:color w:val="auto"/>
                <w:sz w:val="22"/>
              </w:rPr>
            </w:pPr>
            <w:r w:rsidRPr="00BD0B9F">
              <w:rPr>
                <w:color w:val="auto"/>
                <w:sz w:val="22"/>
              </w:rPr>
              <w:t>EEF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64DFFB7" w:rsidR="00E66558" w:rsidRDefault="00C5641C">
            <w:pPr>
              <w:pStyle w:val="TableRowCentered"/>
              <w:jc w:val="left"/>
              <w:rPr>
                <w:sz w:val="22"/>
              </w:rPr>
            </w:pPr>
            <w:r>
              <w:rPr>
                <w:sz w:val="22"/>
              </w:rPr>
              <w:t>4,5,6,7</w:t>
            </w:r>
          </w:p>
        </w:tc>
      </w:tr>
      <w:tr w:rsidR="00C5641C" w14:paraId="5B1231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DA0B" w14:textId="77777777" w:rsidR="00C5641C" w:rsidRPr="00BD0B9F" w:rsidRDefault="00CB5ADC">
            <w:pPr>
              <w:pStyle w:val="TableRow"/>
              <w:rPr>
                <w:i/>
                <w:color w:val="auto"/>
                <w:sz w:val="22"/>
              </w:rPr>
            </w:pPr>
            <w:r w:rsidRPr="00BD0B9F">
              <w:rPr>
                <w:i/>
                <w:color w:val="auto"/>
                <w:sz w:val="22"/>
              </w:rPr>
              <w:t>Additional</w:t>
            </w:r>
            <w:r w:rsidR="00C5641C" w:rsidRPr="00BD0B9F">
              <w:rPr>
                <w:i/>
                <w:color w:val="auto"/>
                <w:sz w:val="22"/>
              </w:rPr>
              <w:t xml:space="preserve"> Specialist SEN Staff to support teachers</w:t>
            </w:r>
            <w:r w:rsidR="000F2923" w:rsidRPr="00BD0B9F">
              <w:rPr>
                <w:i/>
                <w:color w:val="auto"/>
                <w:sz w:val="22"/>
              </w:rPr>
              <w:t xml:space="preserve">. Identifying individualised learning programmes and </w:t>
            </w:r>
            <w:r w:rsidR="0045645A" w:rsidRPr="00BD0B9F">
              <w:rPr>
                <w:i/>
                <w:color w:val="auto"/>
                <w:sz w:val="22"/>
              </w:rPr>
              <w:t>integrating into classroom</w:t>
            </w:r>
            <w:r w:rsidR="000F2923" w:rsidRPr="00BD0B9F">
              <w:rPr>
                <w:i/>
                <w:color w:val="auto"/>
                <w:sz w:val="22"/>
              </w:rPr>
              <w:t>s</w:t>
            </w:r>
          </w:p>
          <w:p w14:paraId="28FAB7F7" w14:textId="0AC26086" w:rsidR="0045645A" w:rsidRPr="00BD0B9F" w:rsidRDefault="0045645A">
            <w:pPr>
              <w:pStyle w:val="TableRow"/>
              <w:rPr>
                <w:i/>
                <w:color w:val="auto"/>
                <w:sz w:val="22"/>
              </w:rPr>
            </w:pPr>
            <w:r w:rsidRPr="00BD0B9F">
              <w:rPr>
                <w:i/>
                <w:color w:val="auto"/>
                <w:sz w:val="22"/>
              </w:rPr>
              <w:t>CPD on specific phonics strategies for SEN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668E" w14:textId="77777777" w:rsidR="00C5641C" w:rsidRDefault="002D54D6">
            <w:pPr>
              <w:pStyle w:val="TableRowCentered"/>
              <w:jc w:val="left"/>
              <w:rPr>
                <w:color w:val="auto"/>
                <w:sz w:val="22"/>
              </w:rPr>
            </w:pPr>
            <w:r w:rsidRPr="00BD0B9F">
              <w:rPr>
                <w:color w:val="auto"/>
                <w:sz w:val="22"/>
              </w:rPr>
              <w:t>EEF SEN in mainstream schools</w:t>
            </w:r>
            <w:r w:rsidR="0045645A" w:rsidRPr="00BD0B9F">
              <w:rPr>
                <w:color w:val="auto"/>
                <w:sz w:val="22"/>
              </w:rPr>
              <w:t xml:space="preserve"> (aimed at mainstream but nevertheless has useful guidance)</w:t>
            </w:r>
          </w:p>
          <w:p w14:paraId="10155F30" w14:textId="77777777" w:rsidR="00BF5E19" w:rsidRDefault="00BF5E19">
            <w:pPr>
              <w:pStyle w:val="TableRowCentered"/>
              <w:jc w:val="left"/>
              <w:rPr>
                <w:color w:val="auto"/>
                <w:sz w:val="22"/>
              </w:rPr>
            </w:pPr>
          </w:p>
          <w:p w14:paraId="17F290E9" w14:textId="77777777" w:rsidR="00BF5E19" w:rsidRPr="0008152C" w:rsidRDefault="00BF5E19" w:rsidP="00BF5E19">
            <w:pPr>
              <w:pStyle w:val="TableRow"/>
              <w:numPr>
                <w:ilvl w:val="0"/>
                <w:numId w:val="15"/>
              </w:numPr>
              <w:spacing w:after="0"/>
              <w:textAlignment w:val="baseline"/>
              <w:rPr>
                <w:rFonts w:cs="Arial"/>
                <w:color w:val="auto"/>
                <w:sz w:val="22"/>
                <w:szCs w:val="22"/>
              </w:rPr>
            </w:pPr>
            <w:hyperlink r:id="rId8">
              <w:r w:rsidRPr="0A8617E2">
                <w:rPr>
                  <w:rStyle w:val="Hyperlink"/>
                  <w:rFonts w:cs="Arial"/>
                  <w:sz w:val="22"/>
                  <w:szCs w:val="22"/>
                </w:rPr>
                <w:t>Metacognition EEF</w:t>
              </w:r>
            </w:hyperlink>
          </w:p>
          <w:p w14:paraId="4FADF7DC" w14:textId="77777777" w:rsidR="00BF5E19" w:rsidRDefault="00BF5E19" w:rsidP="00BF5E19">
            <w:pPr>
              <w:pStyle w:val="TableRow"/>
              <w:numPr>
                <w:ilvl w:val="0"/>
                <w:numId w:val="15"/>
              </w:numPr>
              <w:spacing w:after="0"/>
              <w:textAlignment w:val="baseline"/>
              <w:rPr>
                <w:rFonts w:cs="Arial"/>
                <w:color w:val="auto"/>
                <w:sz w:val="22"/>
                <w:szCs w:val="22"/>
              </w:rPr>
            </w:pPr>
            <w:hyperlink r:id="rId9">
              <w:r w:rsidRPr="0A8617E2">
                <w:rPr>
                  <w:rStyle w:val="Hyperlink"/>
                  <w:rFonts w:cs="Arial"/>
                  <w:sz w:val="22"/>
                  <w:szCs w:val="22"/>
                </w:rPr>
                <w:t>EEF Literacy</w:t>
              </w:r>
            </w:hyperlink>
            <w:r w:rsidRPr="0A8617E2">
              <w:rPr>
                <w:rFonts w:cs="Arial"/>
                <w:color w:val="auto"/>
                <w:sz w:val="22"/>
                <w:szCs w:val="22"/>
              </w:rPr>
              <w:t xml:space="preserve"> </w:t>
            </w:r>
            <w:hyperlink r:id="rId10">
              <w:r w:rsidRPr="0A8617E2">
                <w:rPr>
                  <w:rStyle w:val="Hyperlink"/>
                  <w:rFonts w:cs="Arial"/>
                  <w:sz w:val="22"/>
                  <w:szCs w:val="22"/>
                </w:rPr>
                <w:t>KS1 &amp; KS2</w:t>
              </w:r>
            </w:hyperlink>
          </w:p>
          <w:p w14:paraId="600A9C1F" w14:textId="77777777" w:rsidR="00BF5E19" w:rsidRDefault="00BF5E19" w:rsidP="00BF5E19">
            <w:pPr>
              <w:pStyle w:val="TableRow"/>
              <w:numPr>
                <w:ilvl w:val="0"/>
                <w:numId w:val="15"/>
              </w:numPr>
              <w:spacing w:after="0"/>
              <w:textAlignment w:val="baseline"/>
              <w:rPr>
                <w:rFonts w:cs="Arial"/>
                <w:color w:val="auto"/>
                <w:sz w:val="22"/>
                <w:szCs w:val="22"/>
              </w:rPr>
            </w:pPr>
            <w:hyperlink r:id="rId11">
              <w:r w:rsidRPr="0A8617E2">
                <w:rPr>
                  <w:rStyle w:val="Hyperlink"/>
                  <w:rFonts w:cs="Arial"/>
                  <w:sz w:val="22"/>
                  <w:szCs w:val="22"/>
                </w:rPr>
                <w:t>EEF Assessment &amp; Feedback</w:t>
              </w:r>
            </w:hyperlink>
          </w:p>
          <w:p w14:paraId="34791D81" w14:textId="77777777" w:rsidR="00BF5E19" w:rsidRPr="00BF5E19" w:rsidRDefault="00BF5E19" w:rsidP="00BF5E19">
            <w:pPr>
              <w:pStyle w:val="TableRow"/>
              <w:numPr>
                <w:ilvl w:val="0"/>
                <w:numId w:val="15"/>
              </w:numPr>
              <w:spacing w:after="0"/>
              <w:textAlignment w:val="baseline"/>
              <w:rPr>
                <w:rStyle w:val="Hyperlink"/>
                <w:rFonts w:cs="Arial"/>
                <w:color w:val="000000" w:themeColor="text1"/>
                <w:sz w:val="21"/>
                <w:szCs w:val="21"/>
                <w:u w:val="none"/>
              </w:rPr>
            </w:pPr>
            <w:hyperlink r:id="rId12">
              <w:r w:rsidRPr="0A8617E2">
                <w:rPr>
                  <w:rStyle w:val="Hyperlink"/>
                  <w:rFonts w:cs="Arial"/>
                  <w:sz w:val="22"/>
                  <w:szCs w:val="22"/>
                </w:rPr>
                <w:t>T</w:t>
              </w:r>
              <w:r w:rsidRPr="0A8617E2">
                <w:rPr>
                  <w:rStyle w:val="Hyperlink"/>
                  <w:rFonts w:cs="Arial"/>
                  <w:sz w:val="21"/>
                  <w:szCs w:val="21"/>
                </w:rPr>
                <w:t xml:space="preserve">hinking </w:t>
              </w:r>
              <w:proofErr w:type="spellStart"/>
              <w:r w:rsidRPr="0A8617E2">
                <w:rPr>
                  <w:rStyle w:val="Hyperlink"/>
                  <w:rFonts w:cs="Arial"/>
                  <w:sz w:val="21"/>
                  <w:szCs w:val="21"/>
                </w:rPr>
                <w:t>Matters</w:t>
              </w:r>
            </w:hyperlink>
            <w:proofErr w:type="spellEnd"/>
          </w:p>
          <w:p w14:paraId="7F0516C2" w14:textId="050CB4DB" w:rsidR="00BF5E19" w:rsidRPr="00BF5E19" w:rsidRDefault="00BF5E19" w:rsidP="00BF5E19">
            <w:pPr>
              <w:pStyle w:val="TableRow"/>
              <w:numPr>
                <w:ilvl w:val="0"/>
                <w:numId w:val="15"/>
              </w:numPr>
              <w:spacing w:after="0"/>
              <w:textAlignment w:val="baseline"/>
              <w:rPr>
                <w:rStyle w:val="Hyperlink"/>
                <w:rFonts w:cs="Arial"/>
                <w:color w:val="000000" w:themeColor="text1"/>
                <w:sz w:val="21"/>
                <w:szCs w:val="21"/>
                <w:u w:val="none"/>
              </w:rPr>
            </w:pPr>
            <w:hyperlink r:id="rId13">
              <w:r w:rsidRPr="00BF5E19">
                <w:rPr>
                  <w:rStyle w:val="Hyperlink"/>
                  <w:rFonts w:cs="Arial"/>
                  <w:sz w:val="21"/>
                  <w:szCs w:val="21"/>
                </w:rPr>
                <w:t>EEF Toolkit</w:t>
              </w:r>
            </w:hyperlink>
          </w:p>
          <w:p w14:paraId="5382D9D3" w14:textId="77777777" w:rsidR="00BF5E19" w:rsidRPr="00BF5E19" w:rsidRDefault="00BF5E19" w:rsidP="00BF5E19">
            <w:pPr>
              <w:pStyle w:val="TableRow"/>
              <w:spacing w:after="0"/>
              <w:ind w:left="777"/>
              <w:textAlignment w:val="baseline"/>
              <w:rPr>
                <w:rStyle w:val="Hyperlink"/>
                <w:rFonts w:cs="Arial"/>
                <w:color w:val="000000" w:themeColor="text1"/>
                <w:sz w:val="21"/>
                <w:szCs w:val="21"/>
                <w:u w:val="none"/>
              </w:rPr>
            </w:pPr>
          </w:p>
          <w:p w14:paraId="4520B848" w14:textId="77777777" w:rsidR="00BF5E19" w:rsidRPr="0008152C" w:rsidRDefault="00BF5E19" w:rsidP="00BF5E19">
            <w:pPr>
              <w:pStyle w:val="ListParagraph"/>
              <w:numPr>
                <w:ilvl w:val="0"/>
                <w:numId w:val="15"/>
              </w:numPr>
              <w:spacing w:after="0"/>
              <w:ind w:right="-105"/>
              <w:rPr>
                <w:rFonts w:cs="Arial"/>
                <w:sz w:val="22"/>
                <w:szCs w:val="22"/>
              </w:rPr>
            </w:pPr>
            <w:r>
              <w:rPr>
                <w:rFonts w:cs="Arial"/>
                <w:sz w:val="22"/>
                <w:szCs w:val="22"/>
              </w:rPr>
              <w:t>81% of children with SEMH</w:t>
            </w:r>
            <w:r w:rsidRPr="0A8617E2">
              <w:rPr>
                <w:rFonts w:cs="Arial"/>
                <w:sz w:val="22"/>
                <w:szCs w:val="22"/>
              </w:rPr>
              <w:t xml:space="preserve"> have significant unidentified communication needs. </w:t>
            </w:r>
          </w:p>
          <w:p w14:paraId="134A6F56" w14:textId="77777777" w:rsidR="00BF5E19" w:rsidRPr="0008152C" w:rsidRDefault="00BF5E19" w:rsidP="00BF5E19">
            <w:pPr>
              <w:pStyle w:val="ListParagraph"/>
              <w:numPr>
                <w:ilvl w:val="0"/>
                <w:numId w:val="15"/>
              </w:numPr>
              <w:spacing w:after="0"/>
              <w:ind w:right="-105"/>
              <w:rPr>
                <w:rFonts w:cs="Arial"/>
                <w:sz w:val="22"/>
                <w:szCs w:val="22"/>
              </w:rPr>
            </w:pPr>
            <w:r w:rsidRPr="0A8617E2">
              <w:rPr>
                <w:rFonts w:cs="Arial"/>
                <w:sz w:val="22"/>
                <w:szCs w:val="22"/>
              </w:rPr>
              <w:t xml:space="preserve">2/3 of pupils at risk of exclusion were found to have SLCN. </w:t>
            </w:r>
          </w:p>
          <w:p w14:paraId="299DED2B" w14:textId="77777777" w:rsidR="00BF5E19" w:rsidRPr="0008152C" w:rsidRDefault="00BF5E19" w:rsidP="00BF5E19">
            <w:pPr>
              <w:pStyle w:val="ListParagraph"/>
              <w:numPr>
                <w:ilvl w:val="0"/>
                <w:numId w:val="15"/>
              </w:numPr>
              <w:spacing w:after="0"/>
              <w:ind w:right="-105"/>
              <w:rPr>
                <w:rFonts w:cs="Arial"/>
                <w:sz w:val="22"/>
                <w:szCs w:val="22"/>
              </w:rPr>
            </w:pPr>
            <w:r w:rsidRPr="0A8617E2">
              <w:rPr>
                <w:rFonts w:cs="Arial"/>
                <w:sz w:val="22"/>
                <w:szCs w:val="22"/>
              </w:rPr>
              <w:t xml:space="preserve">“Barriers to communication which spark inappropriate behaviours should be removed.” RCSLT January 2019. </w:t>
            </w:r>
          </w:p>
          <w:p w14:paraId="2AA04391" w14:textId="77777777" w:rsidR="00BF5E19" w:rsidRPr="0008152C" w:rsidRDefault="00BF5E19" w:rsidP="00BF5E19">
            <w:pPr>
              <w:pStyle w:val="ListParagraph"/>
              <w:numPr>
                <w:ilvl w:val="0"/>
                <w:numId w:val="15"/>
              </w:numPr>
              <w:spacing w:after="0"/>
              <w:ind w:right="-105"/>
              <w:rPr>
                <w:rFonts w:cs="Arial"/>
                <w:sz w:val="22"/>
                <w:szCs w:val="22"/>
              </w:rPr>
            </w:pPr>
            <w:r w:rsidRPr="0A8617E2">
              <w:rPr>
                <w:rFonts w:cs="Arial"/>
                <w:sz w:val="22"/>
                <w:szCs w:val="22"/>
              </w:rPr>
              <w:t xml:space="preserve">Melanie Cross Feb 2019 paper consolidates this further and discusses that SEMH and SLCN are often co-current and the impact of training and interventions for staff by SLT.  </w:t>
            </w:r>
          </w:p>
          <w:p w14:paraId="614CED50" w14:textId="77777777" w:rsidR="00BF5E19" w:rsidRPr="0008152C" w:rsidRDefault="00BF5E19" w:rsidP="00BF5E19">
            <w:pPr>
              <w:pStyle w:val="ListParagraph"/>
              <w:numPr>
                <w:ilvl w:val="0"/>
                <w:numId w:val="15"/>
              </w:numPr>
              <w:spacing w:after="0"/>
              <w:ind w:right="-105"/>
              <w:rPr>
                <w:rFonts w:cs="Arial"/>
                <w:sz w:val="22"/>
                <w:szCs w:val="22"/>
              </w:rPr>
            </w:pPr>
            <w:r w:rsidRPr="0A8617E2">
              <w:rPr>
                <w:rFonts w:cs="Arial"/>
                <w:sz w:val="22"/>
                <w:szCs w:val="22"/>
              </w:rPr>
              <w:t xml:space="preserve">Both these studies show that having SLCN interventions positively impacts on the SEMH needs for children. Developing staff to communicate with this in </w:t>
            </w:r>
            <w:r w:rsidRPr="0A8617E2">
              <w:rPr>
                <w:rFonts w:cs="Arial"/>
                <w:sz w:val="22"/>
                <w:szCs w:val="22"/>
              </w:rPr>
              <w:lastRenderedPageBreak/>
              <w:t xml:space="preserve">mind to SEMH children, supports their development both academically and socially. </w:t>
            </w:r>
          </w:p>
          <w:p w14:paraId="5F38F585" w14:textId="77777777" w:rsidR="00BF5E19" w:rsidRPr="0008152C" w:rsidRDefault="00BF5E19" w:rsidP="00BF5E19">
            <w:pPr>
              <w:pStyle w:val="ListParagraph"/>
              <w:numPr>
                <w:ilvl w:val="0"/>
                <w:numId w:val="15"/>
              </w:numPr>
              <w:spacing w:after="0"/>
              <w:ind w:right="-105"/>
              <w:rPr>
                <w:rFonts w:cs="Arial"/>
                <w:sz w:val="22"/>
                <w:szCs w:val="22"/>
              </w:rPr>
            </w:pPr>
            <w:r w:rsidRPr="0A8617E2">
              <w:rPr>
                <w:rFonts w:cs="Arial"/>
                <w:color w:val="auto"/>
                <w:sz w:val="22"/>
                <w:szCs w:val="22"/>
              </w:rPr>
              <w:t>Oral language interventions consistently show positive impact on learning.</w:t>
            </w:r>
          </w:p>
          <w:p w14:paraId="35704683" w14:textId="7340262A" w:rsidR="00BF5E19" w:rsidRPr="00BF5E19" w:rsidRDefault="00BF5E19" w:rsidP="00BF5E19">
            <w:pPr>
              <w:pStyle w:val="TableRow"/>
              <w:spacing w:after="0"/>
              <w:textAlignment w:val="baseline"/>
              <w:rPr>
                <w:rFonts w:cs="Arial"/>
                <w:color w:val="000000" w:themeColor="text1"/>
                <w:sz w:val="21"/>
                <w:szCs w:val="21"/>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DE9E1" w14:textId="487BBD3E" w:rsidR="00C5641C" w:rsidRDefault="00C5641C">
            <w:pPr>
              <w:pStyle w:val="TableRowCentered"/>
              <w:jc w:val="left"/>
              <w:rPr>
                <w:sz w:val="22"/>
              </w:rPr>
            </w:pPr>
            <w:r>
              <w:rPr>
                <w:sz w:val="22"/>
              </w:rPr>
              <w:lastRenderedPageBreak/>
              <w:t>4,5,6,7</w:t>
            </w:r>
          </w:p>
        </w:tc>
      </w:tr>
      <w:tr w:rsidR="00BF5E19" w14:paraId="3BBCE6E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5746" w14:textId="3D9A2740" w:rsidR="00BF5E19" w:rsidRPr="00BD0B9F" w:rsidRDefault="00BF5E19">
            <w:pPr>
              <w:pStyle w:val="TableRow"/>
              <w:rPr>
                <w:i/>
                <w:color w:val="auto"/>
                <w:sz w:val="22"/>
              </w:rPr>
            </w:pPr>
            <w:r w:rsidRPr="0A8617E2">
              <w:rPr>
                <w:color w:val="000000" w:themeColor="text1"/>
                <w:sz w:val="22"/>
                <w:szCs w:val="22"/>
              </w:rPr>
              <w:t>Federation wide role introduced focusing on partnership development across the City of Manchester Partnership (COMLP) with one key role being the development of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22C02" w14:textId="77777777" w:rsidR="00BF5E19" w:rsidRPr="0008152C" w:rsidRDefault="00BF5E19" w:rsidP="00BF5E19">
            <w:pPr>
              <w:pStyle w:val="TableRow"/>
              <w:numPr>
                <w:ilvl w:val="0"/>
                <w:numId w:val="16"/>
              </w:numPr>
              <w:spacing w:after="0"/>
              <w:ind w:left="318" w:hanging="284"/>
              <w:textAlignment w:val="baseline"/>
              <w:rPr>
                <w:rFonts w:cs="Arial"/>
                <w:color w:val="auto"/>
                <w:sz w:val="22"/>
                <w:szCs w:val="22"/>
              </w:rPr>
            </w:pPr>
            <w:hyperlink r:id="rId14">
              <w:r w:rsidRPr="0A8617E2">
                <w:rPr>
                  <w:rStyle w:val="Hyperlink"/>
                  <w:rFonts w:cs="Arial"/>
                  <w:sz w:val="22"/>
                  <w:szCs w:val="22"/>
                </w:rPr>
                <w:t>EEF guide to pupil premium – tiered approach – teaching is the top priority, including CPD.</w:t>
              </w:r>
            </w:hyperlink>
          </w:p>
          <w:p w14:paraId="31AF4841" w14:textId="77777777" w:rsidR="00BF5E19" w:rsidRPr="0008152C" w:rsidRDefault="00BF5E19" w:rsidP="00BF5E19">
            <w:pPr>
              <w:pStyle w:val="TableRow"/>
              <w:numPr>
                <w:ilvl w:val="0"/>
                <w:numId w:val="16"/>
              </w:numPr>
              <w:spacing w:after="0"/>
              <w:ind w:left="318" w:hanging="284"/>
              <w:textAlignment w:val="baseline"/>
              <w:rPr>
                <w:rFonts w:cs="Arial"/>
                <w:color w:val="auto"/>
                <w:sz w:val="22"/>
                <w:szCs w:val="22"/>
              </w:rPr>
            </w:pPr>
            <w:r w:rsidRPr="0A8617E2">
              <w:rPr>
                <w:rFonts w:cs="Arial"/>
                <w:color w:val="auto"/>
                <w:sz w:val="22"/>
                <w:szCs w:val="22"/>
              </w:rPr>
              <w:t>Sutton Trust – quality first teaching has direct impact on student outcomes.</w:t>
            </w:r>
          </w:p>
          <w:p w14:paraId="2C73C573" w14:textId="77777777" w:rsidR="00BF5E19" w:rsidRPr="0008152C" w:rsidRDefault="00BF5E19" w:rsidP="00BF5E19">
            <w:pPr>
              <w:pStyle w:val="TableRow"/>
              <w:numPr>
                <w:ilvl w:val="0"/>
                <w:numId w:val="16"/>
              </w:numPr>
              <w:spacing w:after="0"/>
              <w:ind w:left="318" w:hanging="284"/>
              <w:textAlignment w:val="baseline"/>
              <w:rPr>
                <w:rFonts w:cs="Arial"/>
                <w:color w:val="auto"/>
                <w:sz w:val="22"/>
                <w:szCs w:val="22"/>
              </w:rPr>
            </w:pPr>
            <w:r w:rsidRPr="0A8617E2">
              <w:rPr>
                <w:rFonts w:cs="Arial"/>
                <w:color w:val="auto"/>
                <w:sz w:val="22"/>
                <w:szCs w:val="22"/>
              </w:rPr>
              <w:t>Training and supporting highly qualified teachers deliver targeted support.</w:t>
            </w:r>
          </w:p>
          <w:p w14:paraId="7BA4F9E8" w14:textId="77777777" w:rsidR="00BF5E19" w:rsidRPr="00BD0B9F" w:rsidRDefault="00BF5E19">
            <w:pPr>
              <w:pStyle w:val="TableRowCentered"/>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458D" w14:textId="77777777" w:rsidR="00BF5E19" w:rsidRDefault="00BF5E19">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1E8DDD2" w:rsidR="00E66558" w:rsidRDefault="009D71E8">
      <w:r>
        <w:t xml:space="preserve">Budgeted cost: £ </w:t>
      </w:r>
      <w:r w:rsidR="00CB5ADC">
        <w:rPr>
          <w:i/>
          <w:iCs/>
        </w:rPr>
        <w:t>80,000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9BE3F04" w:rsidR="00E66558" w:rsidRDefault="003C795B">
            <w:pPr>
              <w:pStyle w:val="TableRow"/>
            </w:pPr>
            <w:r>
              <w:rPr>
                <w:i/>
                <w:iCs/>
                <w:sz w:val="22"/>
                <w:szCs w:val="22"/>
              </w:rPr>
              <w:t>One to one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866FEB1" w:rsidR="0045645A" w:rsidRPr="00BD0B9F" w:rsidRDefault="0045645A">
            <w:pPr>
              <w:pStyle w:val="TableRowCentered"/>
              <w:jc w:val="left"/>
              <w:rPr>
                <w:color w:val="auto"/>
                <w:sz w:val="22"/>
              </w:rPr>
            </w:pPr>
            <w:r w:rsidRPr="00BD0B9F">
              <w:rPr>
                <w:color w:val="auto"/>
                <w:sz w:val="22"/>
              </w:rPr>
              <w:t>EEF Making Best Use of Teaching Assistants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05B56E0" w:rsidR="00E66558" w:rsidRDefault="00CB5ADC">
            <w:pPr>
              <w:pStyle w:val="TableRowCentered"/>
              <w:jc w:val="left"/>
              <w:rPr>
                <w:sz w:val="22"/>
              </w:rPr>
            </w:pPr>
            <w:r>
              <w:rPr>
                <w:sz w:val="22"/>
              </w:rPr>
              <w:t>4, 7, 9</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55532F2" w:rsidR="00E66558" w:rsidRDefault="003C795B">
            <w:pPr>
              <w:pStyle w:val="TableRow"/>
              <w:rPr>
                <w:i/>
                <w:sz w:val="22"/>
              </w:rPr>
            </w:pPr>
            <w:r>
              <w:rPr>
                <w:i/>
                <w:sz w:val="22"/>
              </w:rPr>
              <w:t>Increase attendance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B3E" w14:textId="77777777" w:rsidR="00E66558" w:rsidRDefault="00CB5ADC">
            <w:pPr>
              <w:pStyle w:val="TableRowCentered"/>
              <w:jc w:val="left"/>
              <w:rPr>
                <w:color w:val="auto"/>
                <w:sz w:val="22"/>
              </w:rPr>
            </w:pPr>
            <w:r w:rsidRPr="00BD0B9F">
              <w:rPr>
                <w:color w:val="auto"/>
                <w:sz w:val="22"/>
              </w:rPr>
              <w:t>In house exam evidence strongly supports “if they are not in</w:t>
            </w:r>
            <w:r w:rsidR="006D5949" w:rsidRPr="00BD0B9F">
              <w:rPr>
                <w:color w:val="auto"/>
                <w:sz w:val="22"/>
              </w:rPr>
              <w:t>,</w:t>
            </w:r>
            <w:r w:rsidRPr="00BD0B9F">
              <w:rPr>
                <w:color w:val="auto"/>
                <w:sz w:val="22"/>
              </w:rPr>
              <w:t xml:space="preserve"> they can</w:t>
            </w:r>
            <w:r w:rsidR="006D5949" w:rsidRPr="00BD0B9F">
              <w:rPr>
                <w:color w:val="auto"/>
                <w:sz w:val="22"/>
              </w:rPr>
              <w:t>’</w:t>
            </w:r>
            <w:r w:rsidRPr="00BD0B9F">
              <w:rPr>
                <w:color w:val="auto"/>
                <w:sz w:val="22"/>
              </w:rPr>
              <w:t>t learn”</w:t>
            </w:r>
          </w:p>
          <w:p w14:paraId="4246F344" w14:textId="77777777" w:rsidR="00BF5E19" w:rsidRDefault="00BF5E19">
            <w:pPr>
              <w:pStyle w:val="TableRowCentered"/>
              <w:jc w:val="left"/>
              <w:rPr>
                <w:color w:val="auto"/>
                <w:sz w:val="22"/>
              </w:rPr>
            </w:pPr>
          </w:p>
          <w:p w14:paraId="2063D34A" w14:textId="77777777" w:rsidR="00BF5E19" w:rsidRPr="00A61A82" w:rsidRDefault="00BF5E19" w:rsidP="00BF5E19">
            <w:pPr>
              <w:pStyle w:val="ListParagraph"/>
              <w:numPr>
                <w:ilvl w:val="0"/>
                <w:numId w:val="17"/>
              </w:numPr>
              <w:pBdr>
                <w:top w:val="nil"/>
                <w:left w:val="nil"/>
                <w:bottom w:val="nil"/>
                <w:right w:val="nil"/>
                <w:between w:val="nil"/>
              </w:pBdr>
              <w:shd w:val="clear" w:color="auto" w:fill="FFFFFF"/>
              <w:spacing w:after="0"/>
              <w:ind w:left="318" w:hanging="284"/>
              <w:rPr>
                <w:sz w:val="22"/>
                <w:szCs w:val="22"/>
              </w:rPr>
            </w:pPr>
            <w:r w:rsidRPr="00C424C1">
              <w:rPr>
                <w:color w:val="000000"/>
                <w:sz w:val="22"/>
                <w:szCs w:val="22"/>
              </w:rPr>
              <w:t>Attendance of identified PP pupils increases and the gap between PP and non PP narrows.</w:t>
            </w:r>
          </w:p>
          <w:p w14:paraId="39A2455B" w14:textId="77777777" w:rsidR="00BF5E19" w:rsidRPr="00BF5E19" w:rsidRDefault="00BF5E19" w:rsidP="00BF5E19">
            <w:pPr>
              <w:pStyle w:val="ListParagraph"/>
              <w:numPr>
                <w:ilvl w:val="0"/>
                <w:numId w:val="17"/>
              </w:numPr>
              <w:pBdr>
                <w:top w:val="nil"/>
                <w:left w:val="nil"/>
                <w:bottom w:val="nil"/>
                <w:right w:val="nil"/>
                <w:between w:val="nil"/>
              </w:pBdr>
              <w:shd w:val="clear" w:color="auto" w:fill="FFFFFF"/>
              <w:spacing w:after="0"/>
              <w:ind w:left="318" w:hanging="284"/>
              <w:rPr>
                <w:sz w:val="22"/>
                <w:szCs w:val="22"/>
              </w:rPr>
            </w:pPr>
            <w:r w:rsidRPr="00A61A82">
              <w:rPr>
                <w:color w:val="000000"/>
                <w:sz w:val="22"/>
                <w:szCs w:val="22"/>
              </w:rPr>
              <w:t>Dedicated person in the role, who builds a relationship where the parents trust them and feels they will listen to them and provides them with the support they require, leads to improved relationships with school and home lives for the whole family.</w:t>
            </w:r>
          </w:p>
          <w:p w14:paraId="2A7D552E" w14:textId="0DBD7E48" w:rsidR="00BF5E19" w:rsidRPr="00BF5E19" w:rsidRDefault="00BF5E19" w:rsidP="00BF5E19">
            <w:pPr>
              <w:pStyle w:val="ListParagraph"/>
              <w:numPr>
                <w:ilvl w:val="0"/>
                <w:numId w:val="17"/>
              </w:numPr>
              <w:pBdr>
                <w:top w:val="nil"/>
                <w:left w:val="nil"/>
                <w:bottom w:val="nil"/>
                <w:right w:val="nil"/>
                <w:between w:val="nil"/>
              </w:pBdr>
              <w:shd w:val="clear" w:color="auto" w:fill="FFFFFF"/>
              <w:spacing w:after="0"/>
              <w:ind w:left="318" w:hanging="284"/>
              <w:rPr>
                <w:sz w:val="22"/>
                <w:szCs w:val="22"/>
              </w:rPr>
            </w:pPr>
            <w:r w:rsidRPr="00BF5E19">
              <w:rPr>
                <w:color w:val="000000"/>
                <w:sz w:val="22"/>
                <w:szCs w:val="22"/>
              </w:rPr>
              <w:t>EEF toolkit – parental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52E4B60" w:rsidR="00E66558" w:rsidRDefault="00CB5ADC">
            <w:pPr>
              <w:pStyle w:val="TableRowCentered"/>
              <w:jc w:val="left"/>
              <w:rPr>
                <w:sz w:val="22"/>
              </w:rPr>
            </w:pPr>
            <w:r>
              <w:rPr>
                <w:sz w:val="22"/>
              </w:rPr>
              <w:t>3, 9</w:t>
            </w:r>
          </w:p>
        </w:tc>
      </w:tr>
      <w:tr w:rsidR="003C795B" w14:paraId="39224BC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636A" w14:textId="11177911" w:rsidR="003C795B" w:rsidRDefault="003C795B">
            <w:pPr>
              <w:pStyle w:val="TableRow"/>
              <w:rPr>
                <w:i/>
                <w:sz w:val="22"/>
              </w:rPr>
            </w:pPr>
            <w:r>
              <w:rPr>
                <w:i/>
                <w:sz w:val="22"/>
              </w:rPr>
              <w:t>School nurse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ABC8" w14:textId="63C946C8" w:rsidR="003C795B" w:rsidRPr="00BD0B9F" w:rsidRDefault="0045645A">
            <w:pPr>
              <w:pStyle w:val="TableRowCentered"/>
              <w:jc w:val="left"/>
              <w:rPr>
                <w:color w:val="auto"/>
                <w:sz w:val="22"/>
              </w:rPr>
            </w:pPr>
            <w:r w:rsidRPr="00BD0B9F">
              <w:rPr>
                <w:color w:val="auto"/>
                <w:sz w:val="22"/>
              </w:rPr>
              <w:t xml:space="preserve">Many pupils have unmet medical needs due to chaotic households and family </w:t>
            </w:r>
            <w:r w:rsidRPr="00BD0B9F">
              <w:rPr>
                <w:color w:val="auto"/>
                <w:sz w:val="22"/>
              </w:rPr>
              <w:lastRenderedPageBreak/>
              <w:t>poor mental health/ poor engagement with agencies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DC12" w14:textId="602550EA" w:rsidR="003C795B" w:rsidRDefault="000F2923">
            <w:pPr>
              <w:pStyle w:val="TableRowCentered"/>
              <w:jc w:val="left"/>
              <w:rPr>
                <w:sz w:val="22"/>
              </w:rPr>
            </w:pPr>
            <w:r>
              <w:rPr>
                <w:sz w:val="22"/>
              </w:rPr>
              <w:lastRenderedPageBreak/>
              <w:t>8</w:t>
            </w:r>
          </w:p>
        </w:tc>
      </w:tr>
      <w:tr w:rsidR="003C795B" w14:paraId="3B248B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73AA" w14:textId="7242EC2C" w:rsidR="003C795B" w:rsidRDefault="003C795B">
            <w:pPr>
              <w:pStyle w:val="TableRow"/>
              <w:rPr>
                <w:i/>
                <w:sz w:val="22"/>
              </w:rPr>
            </w:pPr>
            <w:r>
              <w:rPr>
                <w:i/>
                <w:sz w:val="22"/>
              </w:rPr>
              <w:t xml:space="preserve">Practical sessions </w:t>
            </w:r>
            <w:r w:rsidR="006D5949">
              <w:rPr>
                <w:i/>
                <w:sz w:val="22"/>
              </w:rPr>
              <w:t>e.g.</w:t>
            </w:r>
            <w:r>
              <w:rPr>
                <w:i/>
                <w:sz w:val="22"/>
              </w:rPr>
              <w:t xml:space="preserve"> Horticulture and Bike maintenance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12A7" w14:textId="3506227A" w:rsidR="003C795B" w:rsidRPr="00BD0B9F" w:rsidRDefault="00BD0B9F" w:rsidP="00BD0B9F">
            <w:pPr>
              <w:pStyle w:val="TableRowCentered"/>
              <w:ind w:left="0"/>
              <w:jc w:val="left"/>
              <w:rPr>
                <w:color w:val="auto"/>
                <w:sz w:val="22"/>
              </w:rPr>
            </w:pPr>
            <w:r w:rsidRPr="00BD0B9F">
              <w:rPr>
                <w:color w:val="auto"/>
                <w:sz w:val="22"/>
              </w:rPr>
              <w:br/>
              <w:t>EEF Improving Behaviour in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7EF7" w14:textId="4A1E360E" w:rsidR="003C795B" w:rsidRDefault="00CB5ADC">
            <w:pPr>
              <w:pStyle w:val="TableRowCentered"/>
              <w:jc w:val="left"/>
              <w:rPr>
                <w:sz w:val="22"/>
              </w:rPr>
            </w:pPr>
            <w:r>
              <w:rPr>
                <w:sz w:val="22"/>
              </w:rPr>
              <w:t>4,5,8,9</w:t>
            </w:r>
          </w:p>
        </w:tc>
      </w:tr>
      <w:tr w:rsidR="003C795B" w14:paraId="1F5F23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43D2" w14:textId="0922295E" w:rsidR="003C795B" w:rsidRDefault="003C795B">
            <w:pPr>
              <w:pStyle w:val="TableRow"/>
              <w:rPr>
                <w:i/>
                <w:sz w:val="22"/>
              </w:rPr>
            </w:pPr>
            <w:r>
              <w:rPr>
                <w:i/>
                <w:sz w:val="22"/>
              </w:rPr>
              <w:t>Self Esteem building to avoid transitions and increase success of those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1680" w14:textId="77777777" w:rsidR="003C795B" w:rsidRPr="00BD0B9F" w:rsidRDefault="000F2923">
            <w:pPr>
              <w:pStyle w:val="TableRowCentered"/>
              <w:jc w:val="left"/>
              <w:rPr>
                <w:color w:val="auto"/>
                <w:sz w:val="22"/>
              </w:rPr>
            </w:pPr>
            <w:r w:rsidRPr="00BD0B9F">
              <w:rPr>
                <w:color w:val="auto"/>
                <w:sz w:val="22"/>
              </w:rPr>
              <w:t>Various EEF research work</w:t>
            </w:r>
          </w:p>
          <w:p w14:paraId="3153A083" w14:textId="6D033509" w:rsidR="0045645A" w:rsidRPr="00BD0B9F" w:rsidRDefault="0045645A">
            <w:pPr>
              <w:pStyle w:val="TableRowCentered"/>
              <w:jc w:val="left"/>
              <w:rPr>
                <w:color w:val="auto"/>
                <w:sz w:val="22"/>
              </w:rPr>
            </w:pPr>
            <w:r w:rsidRPr="00BD0B9F">
              <w:rPr>
                <w:color w:val="auto"/>
                <w:sz w:val="22"/>
              </w:rPr>
              <w:t>EEF Improving Behaviour in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9788" w14:textId="4EFFFFE0" w:rsidR="003C795B" w:rsidRDefault="000F2923">
            <w:pPr>
              <w:pStyle w:val="TableRowCentered"/>
              <w:jc w:val="left"/>
              <w:rPr>
                <w:sz w:val="22"/>
              </w:rPr>
            </w:pPr>
            <w:r>
              <w:rPr>
                <w:sz w:val="22"/>
              </w:rPr>
              <w:t>2,9</w:t>
            </w:r>
          </w:p>
        </w:tc>
      </w:tr>
      <w:tr w:rsidR="00CB5ADC" w14:paraId="1FF593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A3DA" w14:textId="118DBE64" w:rsidR="00CB5ADC" w:rsidRDefault="00CB5ADC">
            <w:pPr>
              <w:pStyle w:val="TableRow"/>
              <w:rPr>
                <w:i/>
                <w:sz w:val="22"/>
              </w:rPr>
            </w:pPr>
            <w:r>
              <w:rPr>
                <w:i/>
                <w:sz w:val="22"/>
              </w:rPr>
              <w:t xml:space="preserve">Extra IT </w:t>
            </w:r>
            <w:r w:rsidR="006D5949">
              <w:rPr>
                <w:i/>
                <w:sz w:val="22"/>
              </w:rPr>
              <w:t>etc.</w:t>
            </w:r>
            <w:r>
              <w:rPr>
                <w:i/>
                <w:sz w:val="22"/>
              </w:rPr>
              <w:t xml:space="preserve"> </w:t>
            </w:r>
            <w:r w:rsidR="006D5949">
              <w:rPr>
                <w:i/>
                <w:sz w:val="22"/>
              </w:rPr>
              <w:t>resources</w:t>
            </w:r>
            <w:r>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C255" w14:textId="32C478AA" w:rsidR="00CB5ADC" w:rsidRPr="00BD0B9F" w:rsidRDefault="000F2923">
            <w:pPr>
              <w:pStyle w:val="TableRowCentered"/>
              <w:jc w:val="left"/>
              <w:rPr>
                <w:color w:val="auto"/>
                <w:sz w:val="22"/>
              </w:rPr>
            </w:pPr>
            <w:r w:rsidRPr="00BD0B9F">
              <w:rPr>
                <w:color w:val="auto"/>
                <w:sz w:val="22"/>
              </w:rPr>
              <w:t>Providing individualised laptops to pupils to</w:t>
            </w:r>
            <w:r w:rsidR="00CB5ADC" w:rsidRPr="00BD0B9F">
              <w:rPr>
                <w:color w:val="auto"/>
                <w:sz w:val="22"/>
              </w:rPr>
              <w:t xml:space="preserve"> enable elements such as speech recognition to be developed.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EC14" w14:textId="3DA40DD6" w:rsidR="00CB5ADC" w:rsidRDefault="000F2923">
            <w:pPr>
              <w:pStyle w:val="TableRowCentered"/>
              <w:jc w:val="left"/>
              <w:rPr>
                <w:sz w:val="22"/>
              </w:rPr>
            </w:pPr>
            <w:r>
              <w:rPr>
                <w:sz w:val="22"/>
              </w:rPr>
              <w:t>4,5,6,7,9</w:t>
            </w:r>
          </w:p>
        </w:tc>
      </w:tr>
      <w:tr w:rsidR="001C484D" w14:paraId="1F580D9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19DF" w14:textId="3A9E5555" w:rsidR="00BD0B9F" w:rsidRPr="0045645A" w:rsidRDefault="001C484D" w:rsidP="00BD0B9F">
            <w:pPr>
              <w:pStyle w:val="TableRow"/>
              <w:rPr>
                <w:i/>
                <w:color w:val="FF0000"/>
                <w:sz w:val="22"/>
              </w:rPr>
            </w:pPr>
            <w:r>
              <w:rPr>
                <w:i/>
                <w:sz w:val="22"/>
              </w:rPr>
              <w:t xml:space="preserve">Use of third party support </w:t>
            </w:r>
          </w:p>
          <w:p w14:paraId="0DE3E321" w14:textId="77777777" w:rsidR="00BD0B9F" w:rsidRPr="00BD0B9F" w:rsidRDefault="0045645A">
            <w:pPr>
              <w:pStyle w:val="TableRow"/>
              <w:rPr>
                <w:i/>
                <w:color w:val="auto"/>
                <w:sz w:val="22"/>
              </w:rPr>
            </w:pPr>
            <w:r w:rsidRPr="00BD0B9F">
              <w:rPr>
                <w:i/>
                <w:color w:val="auto"/>
                <w:sz w:val="22"/>
              </w:rPr>
              <w:t>U</w:t>
            </w:r>
            <w:r w:rsidR="00BD0B9F" w:rsidRPr="00BD0B9F">
              <w:rPr>
                <w:i/>
                <w:color w:val="auto"/>
                <w:sz w:val="22"/>
              </w:rPr>
              <w:t xml:space="preserve">nity Youth Arts and Sounds </w:t>
            </w:r>
          </w:p>
          <w:p w14:paraId="7C6B2C65" w14:textId="77777777" w:rsidR="00BD0B9F" w:rsidRPr="00BD0B9F" w:rsidRDefault="00BD0B9F">
            <w:pPr>
              <w:pStyle w:val="TableRow"/>
              <w:rPr>
                <w:i/>
                <w:color w:val="auto"/>
                <w:sz w:val="22"/>
              </w:rPr>
            </w:pPr>
          </w:p>
          <w:p w14:paraId="66E6B77F" w14:textId="4411DD7F" w:rsidR="0045645A" w:rsidRDefault="0045645A">
            <w:pPr>
              <w:pStyle w:val="TableRow"/>
              <w:rPr>
                <w:i/>
                <w:sz w:val="22"/>
              </w:rPr>
            </w:pPr>
            <w:r w:rsidRPr="00BD0B9F">
              <w:rPr>
                <w:i/>
                <w:color w:val="auto"/>
                <w:sz w:val="22"/>
              </w:rPr>
              <w:t>Sporting Pathways for additional sports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6200" w14:textId="77777777" w:rsidR="001C484D" w:rsidRPr="00BD0B9F" w:rsidRDefault="0045645A">
            <w:pPr>
              <w:pStyle w:val="TableRowCentered"/>
              <w:jc w:val="left"/>
              <w:rPr>
                <w:color w:val="auto"/>
                <w:sz w:val="22"/>
              </w:rPr>
            </w:pPr>
            <w:r w:rsidRPr="00BD0B9F">
              <w:rPr>
                <w:color w:val="auto"/>
                <w:sz w:val="22"/>
              </w:rPr>
              <w:t xml:space="preserve">Arts Council </w:t>
            </w:r>
          </w:p>
          <w:p w14:paraId="72EC9313" w14:textId="77777777" w:rsidR="0045645A" w:rsidRPr="00BD0B9F" w:rsidRDefault="0045645A">
            <w:pPr>
              <w:pStyle w:val="TableRowCentered"/>
              <w:jc w:val="left"/>
              <w:rPr>
                <w:color w:val="auto"/>
                <w:sz w:val="22"/>
              </w:rPr>
            </w:pPr>
            <w:r w:rsidRPr="00BD0B9F">
              <w:rPr>
                <w:color w:val="auto"/>
                <w:sz w:val="22"/>
              </w:rPr>
              <w:t>TES</w:t>
            </w:r>
          </w:p>
          <w:p w14:paraId="348326BF" w14:textId="6D6E2962" w:rsidR="0045645A" w:rsidRDefault="00BF5E19">
            <w:pPr>
              <w:pStyle w:val="TableRowCentered"/>
              <w:jc w:val="left"/>
              <w:rPr>
                <w:color w:val="auto"/>
                <w:sz w:val="22"/>
              </w:rPr>
            </w:pPr>
            <w:hyperlink r:id="rId15" w:history="1">
              <w:r w:rsidRPr="00304A31">
                <w:rPr>
                  <w:rStyle w:val="Hyperlink"/>
                  <w:sz w:val="22"/>
                </w:rPr>
                <w:t>https://www.sec-ed.co.uk/best-practice/pupil-wellbeing-the-healing-power-of-art</w:t>
              </w:r>
            </w:hyperlink>
          </w:p>
          <w:p w14:paraId="6718E44E" w14:textId="77777777" w:rsidR="00BF5E19" w:rsidRDefault="00BF5E19">
            <w:pPr>
              <w:pStyle w:val="TableRowCentered"/>
              <w:jc w:val="left"/>
              <w:rPr>
                <w:color w:val="auto"/>
                <w:sz w:val="22"/>
              </w:rPr>
            </w:pPr>
          </w:p>
          <w:p w14:paraId="7514A711" w14:textId="77777777" w:rsidR="00BF5E19" w:rsidRPr="0008152C" w:rsidRDefault="00BF5E19" w:rsidP="00BF5E19">
            <w:pPr>
              <w:pStyle w:val="TableRowCentered"/>
              <w:numPr>
                <w:ilvl w:val="0"/>
                <w:numId w:val="17"/>
              </w:numPr>
              <w:spacing w:after="0"/>
              <w:ind w:left="318" w:hanging="284"/>
              <w:jc w:val="left"/>
              <w:rPr>
                <w:rFonts w:cs="Arial"/>
                <w:color w:val="auto"/>
                <w:sz w:val="22"/>
                <w:szCs w:val="22"/>
              </w:rPr>
            </w:pPr>
            <w:r w:rsidRPr="0A8617E2">
              <w:rPr>
                <w:rFonts w:cs="Arial"/>
                <w:color w:val="auto"/>
                <w:sz w:val="22"/>
                <w:szCs w:val="22"/>
              </w:rPr>
              <w:t>Learning is contextualised in concrete experiences and language rich environments.</w:t>
            </w:r>
          </w:p>
          <w:p w14:paraId="345A28FE" w14:textId="77777777" w:rsidR="00BF5E19" w:rsidRPr="0008152C" w:rsidRDefault="00BF5E19" w:rsidP="00BF5E19">
            <w:pPr>
              <w:pStyle w:val="TableRowCentered"/>
              <w:numPr>
                <w:ilvl w:val="0"/>
                <w:numId w:val="17"/>
              </w:numPr>
              <w:spacing w:after="0"/>
              <w:ind w:left="318" w:hanging="284"/>
              <w:jc w:val="left"/>
              <w:rPr>
                <w:rFonts w:cs="Arial"/>
                <w:color w:val="auto"/>
                <w:sz w:val="22"/>
                <w:szCs w:val="22"/>
              </w:rPr>
            </w:pPr>
            <w:proofErr w:type="spellStart"/>
            <w:r w:rsidRPr="0A8617E2">
              <w:rPr>
                <w:rFonts w:cs="Arial"/>
                <w:color w:val="auto"/>
                <w:sz w:val="22"/>
                <w:szCs w:val="22"/>
              </w:rPr>
              <w:t>Oftsed</w:t>
            </w:r>
            <w:proofErr w:type="spellEnd"/>
            <w:r w:rsidRPr="0A8617E2">
              <w:rPr>
                <w:rFonts w:cs="Arial"/>
                <w:color w:val="auto"/>
                <w:sz w:val="22"/>
                <w:szCs w:val="22"/>
              </w:rPr>
              <w:t xml:space="preserve"> research (2019) places emphasis on improving cultural capital, particularly for disadvantaged pupils.</w:t>
            </w:r>
          </w:p>
          <w:p w14:paraId="01E37A5C" w14:textId="77777777" w:rsidR="00BF5E19" w:rsidRPr="0008152C" w:rsidRDefault="00BF5E19" w:rsidP="00BF5E19">
            <w:pPr>
              <w:pStyle w:val="TableRowCentered"/>
              <w:numPr>
                <w:ilvl w:val="0"/>
                <w:numId w:val="17"/>
              </w:numPr>
              <w:spacing w:after="0"/>
              <w:ind w:left="318" w:hanging="284"/>
              <w:jc w:val="left"/>
              <w:rPr>
                <w:rFonts w:cs="Arial"/>
                <w:color w:val="auto"/>
                <w:sz w:val="22"/>
                <w:szCs w:val="22"/>
              </w:rPr>
            </w:pPr>
            <w:r w:rsidRPr="0A8617E2">
              <w:rPr>
                <w:rFonts w:cs="Arial"/>
                <w:color w:val="auto"/>
                <w:sz w:val="22"/>
                <w:szCs w:val="22"/>
              </w:rPr>
              <w:t>Pupil surveys reflect greater enjoyment and engagement in school.</w:t>
            </w:r>
          </w:p>
          <w:p w14:paraId="0ED9C5FC" w14:textId="77777777" w:rsidR="00BF5E19" w:rsidRPr="0008152C" w:rsidRDefault="00BF5E19" w:rsidP="00BF5E19">
            <w:pPr>
              <w:pStyle w:val="TableRowCentered"/>
              <w:numPr>
                <w:ilvl w:val="0"/>
                <w:numId w:val="17"/>
              </w:numPr>
              <w:spacing w:after="0"/>
              <w:ind w:left="318" w:hanging="284"/>
              <w:jc w:val="left"/>
              <w:rPr>
                <w:rFonts w:cs="Arial"/>
                <w:color w:val="auto"/>
                <w:sz w:val="22"/>
                <w:szCs w:val="22"/>
              </w:rPr>
            </w:pPr>
            <w:r w:rsidRPr="0A8617E2">
              <w:rPr>
                <w:rFonts w:cs="Arial"/>
                <w:color w:val="auto"/>
                <w:sz w:val="22"/>
                <w:szCs w:val="22"/>
              </w:rPr>
              <w:t>Enrichment activities offer children a context for leaning and a stimulus to trigger their interest which can be evidenced in pupil books and data.</w:t>
            </w:r>
          </w:p>
          <w:p w14:paraId="538D0E9E" w14:textId="77777777" w:rsidR="00BF5E19" w:rsidRPr="0008152C" w:rsidRDefault="00BF5E19" w:rsidP="00BF5E19">
            <w:pPr>
              <w:pStyle w:val="TableRowCentered"/>
              <w:numPr>
                <w:ilvl w:val="0"/>
                <w:numId w:val="17"/>
              </w:numPr>
              <w:spacing w:after="0"/>
              <w:ind w:left="318" w:hanging="284"/>
              <w:jc w:val="left"/>
              <w:rPr>
                <w:rFonts w:cs="Arial"/>
                <w:color w:val="auto"/>
                <w:sz w:val="22"/>
                <w:szCs w:val="22"/>
              </w:rPr>
            </w:pPr>
            <w:hyperlink r:id="rId16">
              <w:r w:rsidRPr="0A8617E2">
                <w:rPr>
                  <w:rStyle w:val="Hyperlink"/>
                  <w:rFonts w:cs="Arial"/>
                  <w:sz w:val="22"/>
                  <w:szCs w:val="22"/>
                </w:rPr>
                <w:t>SHUE data</w:t>
              </w:r>
            </w:hyperlink>
          </w:p>
          <w:p w14:paraId="691E9AFC" w14:textId="77777777" w:rsidR="00BF5E19" w:rsidRDefault="00BF5E19" w:rsidP="00BF5E19">
            <w:pPr>
              <w:pStyle w:val="TableRowCentered"/>
              <w:numPr>
                <w:ilvl w:val="0"/>
                <w:numId w:val="17"/>
              </w:numPr>
              <w:spacing w:after="0"/>
              <w:ind w:left="318" w:hanging="284"/>
              <w:jc w:val="left"/>
              <w:rPr>
                <w:rFonts w:cs="Arial"/>
                <w:color w:val="auto"/>
                <w:sz w:val="22"/>
                <w:szCs w:val="22"/>
              </w:rPr>
            </w:pPr>
            <w:r w:rsidRPr="0A8617E2">
              <w:rPr>
                <w:rFonts w:cs="Arial"/>
                <w:color w:val="auto"/>
                <w:sz w:val="22"/>
                <w:szCs w:val="22"/>
              </w:rPr>
              <w:t>EEF – sports participation increases educational engagement and attainment.</w:t>
            </w:r>
          </w:p>
          <w:p w14:paraId="3C1A7D92" w14:textId="33053066" w:rsidR="00BF5E19" w:rsidRPr="00BF5E19" w:rsidRDefault="00BF5E19" w:rsidP="00BF5E19">
            <w:pPr>
              <w:pStyle w:val="TableRowCentered"/>
              <w:numPr>
                <w:ilvl w:val="0"/>
                <w:numId w:val="17"/>
              </w:numPr>
              <w:spacing w:after="0"/>
              <w:ind w:left="318" w:hanging="284"/>
              <w:jc w:val="left"/>
              <w:rPr>
                <w:rFonts w:cs="Arial"/>
                <w:color w:val="auto"/>
                <w:sz w:val="22"/>
                <w:szCs w:val="22"/>
              </w:rPr>
            </w:pPr>
            <w:r w:rsidRPr="00BF5E19">
              <w:rPr>
                <w:rFonts w:cs="Arial"/>
                <w:color w:val="auto"/>
                <w:sz w:val="22"/>
                <w:szCs w:val="22"/>
              </w:rPr>
              <w:t>EEF – outdoor adventure learning shows positive benefits on academic learning and self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1C3C" w14:textId="0087EBC2" w:rsidR="001C484D" w:rsidRDefault="009C56D5">
            <w:pPr>
              <w:pStyle w:val="TableRowCentered"/>
              <w:jc w:val="left"/>
              <w:rPr>
                <w:sz w:val="22"/>
              </w:rPr>
            </w:pPr>
            <w:r>
              <w:rPr>
                <w:sz w:val="22"/>
              </w:rPr>
              <w:t>3,4,6,7,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F289F1F" w:rsidR="00E66558" w:rsidRDefault="009D71E8">
      <w:pPr>
        <w:spacing w:before="240" w:after="120"/>
      </w:pPr>
      <w:r>
        <w:t xml:space="preserve">Budgeted cost: £ </w:t>
      </w:r>
      <w:r w:rsidR="000F2923">
        <w:rPr>
          <w:i/>
          <w:iCs/>
        </w:rPr>
        <w:t>49</w:t>
      </w:r>
      <w:r w:rsidR="00CB5ADC">
        <w:rPr>
          <w:i/>
          <w:iCs/>
        </w:rPr>
        <w:t>,000</w:t>
      </w:r>
      <w:r w:rsidR="00CB5ADC">
        <w:rPr>
          <w:i/>
          <w:iCs/>
        </w:rPr>
        <w:tab/>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2098" w14:textId="77777777" w:rsidR="00E66558" w:rsidRPr="00BD0B9F" w:rsidRDefault="00FA56C5">
            <w:pPr>
              <w:pStyle w:val="TableRow"/>
              <w:rPr>
                <w:i/>
                <w:iCs/>
                <w:color w:val="auto"/>
                <w:sz w:val="22"/>
                <w:szCs w:val="22"/>
              </w:rPr>
            </w:pPr>
            <w:r w:rsidRPr="00BD0B9F">
              <w:rPr>
                <w:i/>
                <w:iCs/>
                <w:color w:val="auto"/>
                <w:sz w:val="22"/>
                <w:szCs w:val="22"/>
              </w:rPr>
              <w:lastRenderedPageBreak/>
              <w:t>Review of Curriculum</w:t>
            </w:r>
          </w:p>
          <w:p w14:paraId="2A7D5538" w14:textId="627C1915" w:rsidR="0045645A" w:rsidRPr="00BD0B9F" w:rsidRDefault="0045645A">
            <w:pPr>
              <w:pStyle w:val="TableRow"/>
              <w:rPr>
                <w:color w:val="auto"/>
              </w:rPr>
            </w:pPr>
            <w:r w:rsidRPr="00BD0B9F">
              <w:rPr>
                <w:i/>
                <w:iCs/>
                <w:color w:val="auto"/>
                <w:sz w:val="22"/>
                <w:szCs w:val="22"/>
              </w:rPr>
              <w:t>Contribution to Outdoor Education</w:t>
            </w:r>
            <w:r w:rsidR="00A422C7" w:rsidRPr="00BD0B9F">
              <w:rPr>
                <w:i/>
                <w:iCs/>
                <w:color w:val="auto"/>
                <w:sz w:val="22"/>
                <w:szCs w:val="22"/>
              </w:rPr>
              <w:t>; resources, training, transport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2583" w14:textId="77777777" w:rsidR="00A422C7" w:rsidRPr="00BD0B9F" w:rsidRDefault="00A422C7" w:rsidP="00A422C7">
            <w:pPr>
              <w:suppressAutoHyphens w:val="0"/>
              <w:spacing w:after="0" w:line="240" w:lineRule="auto"/>
              <w:rPr>
                <w:rFonts w:cs="Arial"/>
                <w:color w:val="auto"/>
                <w:u w:val="single"/>
                <w:shd w:val="clear" w:color="auto" w:fill="FFFFFF"/>
              </w:rPr>
            </w:pPr>
            <w:r w:rsidRPr="00BD0B9F">
              <w:rPr>
                <w:color w:val="auto"/>
                <w:sz w:val="22"/>
              </w:rPr>
              <w:t>Duke of Edinburgh info</w:t>
            </w:r>
            <w:r w:rsidRPr="00BD0B9F">
              <w:rPr>
                <w:rFonts w:ascii="Times New Roman" w:hAnsi="Times New Roman"/>
                <w:color w:val="auto"/>
              </w:rPr>
              <w:fldChar w:fldCharType="begin"/>
            </w:r>
            <w:r w:rsidRPr="00BD0B9F">
              <w:rPr>
                <w:rFonts w:ascii="Times New Roman" w:hAnsi="Times New Roman"/>
                <w:color w:val="auto"/>
              </w:rPr>
              <w:instrText xml:space="preserve"> HYPERLINK "https://www.englishoutdoorcouncil.org/HQOE.pdf" </w:instrText>
            </w:r>
            <w:r w:rsidRPr="00BD0B9F">
              <w:rPr>
                <w:rFonts w:ascii="Times New Roman" w:hAnsi="Times New Roman"/>
                <w:color w:val="auto"/>
              </w:rPr>
              <w:fldChar w:fldCharType="separate"/>
            </w:r>
            <w:r w:rsidRPr="00BD0B9F">
              <w:rPr>
                <w:rFonts w:cs="Arial"/>
                <w:color w:val="auto"/>
                <w:u w:val="single"/>
                <w:shd w:val="clear" w:color="auto" w:fill="FFFFFF"/>
              </w:rPr>
              <w:br/>
            </w:r>
          </w:p>
          <w:p w14:paraId="669C5B6C" w14:textId="77777777" w:rsidR="00A422C7" w:rsidRPr="00BD0B9F" w:rsidRDefault="00A422C7" w:rsidP="00A422C7">
            <w:pPr>
              <w:suppressAutoHyphens w:val="0"/>
              <w:autoSpaceDN/>
              <w:spacing w:after="0" w:line="240" w:lineRule="auto"/>
              <w:rPr>
                <w:rFonts w:cs="Arial"/>
                <w:color w:val="auto"/>
                <w:u w:val="single"/>
                <w:shd w:val="clear" w:color="auto" w:fill="FFFFFF"/>
              </w:rPr>
            </w:pPr>
            <w:r w:rsidRPr="00BD0B9F">
              <w:rPr>
                <w:rFonts w:cs="Arial"/>
                <w:color w:val="auto"/>
                <w:sz w:val="21"/>
                <w:szCs w:val="21"/>
                <w:u w:val="single"/>
                <w:shd w:val="clear" w:color="auto" w:fill="FFFFFF"/>
              </w:rPr>
              <w:t>https://www.englishoutdoorcouncil.org </w:t>
            </w:r>
          </w:p>
          <w:p w14:paraId="11B90D79" w14:textId="176C2557" w:rsidR="00A422C7" w:rsidRPr="00BD0B9F" w:rsidRDefault="00A422C7" w:rsidP="00A422C7">
            <w:pPr>
              <w:pStyle w:val="TableRowCentered"/>
              <w:jc w:val="left"/>
              <w:rPr>
                <w:color w:val="auto"/>
                <w:sz w:val="22"/>
              </w:rPr>
            </w:pPr>
            <w:r w:rsidRPr="00BD0B9F">
              <w:rPr>
                <w:rFonts w:ascii="Times New Roman" w:hAnsi="Times New Roman"/>
                <w:color w:val="auto"/>
                <w:szCs w:val="24"/>
              </w:rPr>
              <w:fldChar w:fldCharType="end"/>
            </w:r>
          </w:p>
          <w:p w14:paraId="2A7D5539" w14:textId="168F4790" w:rsidR="00A422C7" w:rsidRPr="00BD0B9F" w:rsidRDefault="00A422C7">
            <w:pPr>
              <w:pStyle w:val="TableRowCentered"/>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3933A8" w:rsidR="00E66558" w:rsidRDefault="003C795B">
            <w:pPr>
              <w:pStyle w:val="TableRowCentered"/>
              <w:jc w:val="left"/>
              <w:rPr>
                <w:sz w:val="22"/>
              </w:rPr>
            </w:pPr>
            <w:r>
              <w:rPr>
                <w:sz w:val="22"/>
              </w:rPr>
              <w:t>3,</w:t>
            </w:r>
            <w:r w:rsidR="009C56D5">
              <w:rPr>
                <w:sz w:val="22"/>
              </w:rPr>
              <w:t xml:space="preserve"> </w:t>
            </w:r>
            <w:r>
              <w:rPr>
                <w:sz w:val="22"/>
              </w:rPr>
              <w:t>4,</w:t>
            </w:r>
            <w:r w:rsidR="009C56D5">
              <w:rPr>
                <w:sz w:val="22"/>
              </w:rPr>
              <w:t xml:space="preserve"> </w:t>
            </w:r>
            <w:r>
              <w:rPr>
                <w:sz w:val="22"/>
              </w:rPr>
              <w:t>5,</w:t>
            </w:r>
            <w:r w:rsidR="009C56D5">
              <w:rPr>
                <w:sz w:val="22"/>
              </w:rPr>
              <w:t xml:space="preserve"> </w:t>
            </w:r>
            <w:r>
              <w:rPr>
                <w:sz w:val="22"/>
              </w:rPr>
              <w:t>6,</w:t>
            </w:r>
            <w:r w:rsidR="009C56D5">
              <w:rPr>
                <w:sz w:val="22"/>
              </w:rPr>
              <w:t xml:space="preserve"> </w:t>
            </w:r>
            <w:r>
              <w:rPr>
                <w:sz w:val="22"/>
              </w:rPr>
              <w:t>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51D4431" w:rsidR="00E66558" w:rsidRDefault="003C795B">
            <w:pPr>
              <w:pStyle w:val="TableRow"/>
              <w:rPr>
                <w:i/>
                <w:sz w:val="22"/>
              </w:rPr>
            </w:pPr>
            <w:r>
              <w:rPr>
                <w:i/>
                <w:sz w:val="22"/>
              </w:rPr>
              <w:t>Work on transition management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318EF5" w:rsidR="00E66558" w:rsidRDefault="000F2923">
            <w:pPr>
              <w:pStyle w:val="TableRowCentered"/>
              <w:jc w:val="left"/>
              <w:rPr>
                <w:sz w:val="22"/>
              </w:rPr>
            </w:pPr>
            <w:r>
              <w:rPr>
                <w:sz w:val="22"/>
              </w:rPr>
              <w:t>2,9</w:t>
            </w:r>
          </w:p>
        </w:tc>
      </w:tr>
      <w:tr w:rsidR="00C5641C" w14:paraId="1925999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68C3" w14:textId="5228F531" w:rsidR="00C5641C" w:rsidRDefault="00C5641C">
            <w:pPr>
              <w:pStyle w:val="TableRow"/>
              <w:rPr>
                <w:i/>
                <w:sz w:val="22"/>
              </w:rPr>
            </w:pPr>
            <w:r>
              <w:rPr>
                <w:i/>
                <w:sz w:val="22"/>
              </w:rPr>
              <w:t>Continued contribution to LAC Support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CCE4" w14:textId="569922E8" w:rsidR="00C5641C" w:rsidRDefault="005D3B55">
            <w:pPr>
              <w:pStyle w:val="TableRowCentered"/>
              <w:jc w:val="left"/>
              <w:rPr>
                <w:sz w:val="22"/>
              </w:rPr>
            </w:pPr>
            <w:proofErr w:type="spellStart"/>
            <w:r w:rsidRPr="005D3B55">
              <w:rPr>
                <w:color w:val="auto"/>
                <w:sz w:val="22"/>
              </w:rPr>
              <w:t>DfE</w:t>
            </w:r>
            <w:proofErr w:type="spellEnd"/>
            <w:r w:rsidRPr="005D3B55">
              <w:rPr>
                <w:color w:val="auto"/>
                <w:sz w:val="22"/>
              </w:rPr>
              <w:t xml:space="preserve"> Guidance 2018-</w:t>
            </w:r>
            <w:proofErr w:type="gramStart"/>
            <w:r w:rsidRPr="005D3B55">
              <w:rPr>
                <w:color w:val="auto"/>
                <w:sz w:val="22"/>
              </w:rPr>
              <w:t>‘ Looked</w:t>
            </w:r>
            <w:proofErr w:type="gramEnd"/>
            <w:r w:rsidRPr="005D3B55">
              <w:rPr>
                <w:color w:val="auto"/>
                <w:sz w:val="22"/>
              </w:rPr>
              <w:t xml:space="preserve"> after and Previously Looked After children start with the disadvantage of their- pre-care experiences and, often have special educational needs…’ we need to promote their educational attainment</w:t>
            </w:r>
            <w:r>
              <w:rPr>
                <w:color w:val="auto"/>
                <w:sz w:val="22"/>
              </w:rPr>
              <w:t>’</w:t>
            </w:r>
            <w:r w:rsidRPr="005D3B55">
              <w:rPr>
                <w:color w:val="auto"/>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22EAD" w14:textId="0E288280" w:rsidR="00C5641C" w:rsidRDefault="000F2923">
            <w:pPr>
              <w:pStyle w:val="TableRowCentered"/>
              <w:jc w:val="left"/>
              <w:rPr>
                <w:sz w:val="22"/>
              </w:rPr>
            </w:pPr>
            <w:r>
              <w:rPr>
                <w:sz w:val="22"/>
              </w:rPr>
              <w:t>2, 6</w:t>
            </w:r>
          </w:p>
        </w:tc>
      </w:tr>
    </w:tbl>
    <w:p w14:paraId="2A7D5540" w14:textId="77777777" w:rsidR="00E66558" w:rsidRDefault="00E66558">
      <w:pPr>
        <w:spacing w:before="240" w:after="0"/>
        <w:rPr>
          <w:b/>
          <w:bCs/>
          <w:color w:val="104F75"/>
          <w:sz w:val="28"/>
          <w:szCs w:val="28"/>
        </w:rPr>
      </w:pPr>
    </w:p>
    <w:p w14:paraId="2A7D5541" w14:textId="41D8C187" w:rsidR="00E66558" w:rsidRDefault="009D71E8" w:rsidP="00120AB1">
      <w:r>
        <w:rPr>
          <w:b/>
          <w:bCs/>
          <w:color w:val="104F75"/>
          <w:sz w:val="28"/>
          <w:szCs w:val="28"/>
        </w:rPr>
        <w:t xml:space="preserve">Total budgeted cost: £ </w:t>
      </w:r>
      <w:r w:rsidR="000F2923">
        <w:rPr>
          <w:i/>
          <w:iCs/>
          <w:color w:val="104F75"/>
          <w:sz w:val="28"/>
          <w:szCs w:val="28"/>
        </w:rPr>
        <w:t>149k</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Look w:val="04A0" w:firstRow="1" w:lastRow="0" w:firstColumn="1" w:lastColumn="0" w:noHBand="0" w:noVBand="1"/>
      </w:tblPr>
      <w:tblGrid>
        <w:gridCol w:w="9726"/>
      </w:tblGrid>
      <w:tr w:rsidR="00E66558" w14:paraId="2A7D5547" w14:textId="77777777" w:rsidTr="00EE74C3">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63271D98" w14:textId="0069404D" w:rsidR="000F2923" w:rsidRPr="009C56D5" w:rsidRDefault="000F2923">
            <w:pPr>
              <w:spacing w:before="120"/>
            </w:pPr>
            <w:r w:rsidRPr="009C56D5">
              <w:t xml:space="preserve">Last year many of the planned actions were disrupted by </w:t>
            </w:r>
            <w:proofErr w:type="spellStart"/>
            <w:r w:rsidRPr="009C56D5">
              <w:t>Covid</w:t>
            </w:r>
            <w:proofErr w:type="spellEnd"/>
            <w:r w:rsidRPr="009C56D5">
              <w:t xml:space="preserve"> and funds had to be redirected.</w:t>
            </w:r>
            <w:r w:rsidR="00C929A2" w:rsidRPr="009C56D5">
              <w:t xml:space="preserve"> Very difficult to measure against proposed targets</w:t>
            </w:r>
            <w:r w:rsidR="00F97460">
              <w:t>.</w:t>
            </w:r>
          </w:p>
          <w:p w14:paraId="7D6AC849" w14:textId="3E3BF5D2" w:rsidR="00EE74C3" w:rsidRDefault="00C929A2">
            <w:pPr>
              <w:spacing w:before="120"/>
            </w:pPr>
            <w:r w:rsidRPr="009C56D5">
              <w:t xml:space="preserve">Transitions - The </w:t>
            </w:r>
            <w:r w:rsidR="006D5949" w:rsidRPr="009C56D5">
              <w:t>restructuring</w:t>
            </w:r>
            <w:r w:rsidRPr="009C56D5">
              <w:t xml:space="preserve"> of the school has </w:t>
            </w:r>
            <w:r w:rsidR="006D5949" w:rsidRPr="009C56D5">
              <w:t>led</w:t>
            </w:r>
            <w:r w:rsidRPr="009C56D5">
              <w:t xml:space="preserve"> to a reduced number of </w:t>
            </w:r>
            <w:r w:rsidR="006D5949" w:rsidRPr="009C56D5">
              <w:t>transitions</w:t>
            </w:r>
            <w:r w:rsidRPr="009C56D5">
              <w:t>. Work staff undertook with pupils, improved the quality of transitions (Staff and pupil feedback)</w:t>
            </w:r>
            <w:r w:rsidR="00F97460">
              <w:t xml:space="preserve">. The three main areas of transition (see table and graph below) were to more appropriate pre-16 provision (specialist school or a return to mainstream) or to an appropriate post-16 provision for our Year 11 leavers. </w:t>
            </w:r>
          </w:p>
          <w:tbl>
            <w:tblPr>
              <w:tblW w:w="3660" w:type="dxa"/>
              <w:tblCellMar>
                <w:top w:w="15" w:type="dxa"/>
                <w:bottom w:w="15" w:type="dxa"/>
              </w:tblCellMar>
              <w:tblLook w:val="04A0" w:firstRow="1" w:lastRow="0" w:firstColumn="1" w:lastColumn="0" w:noHBand="0" w:noVBand="1"/>
            </w:tblPr>
            <w:tblGrid>
              <w:gridCol w:w="2380"/>
              <w:gridCol w:w="1280"/>
            </w:tblGrid>
            <w:tr w:rsidR="00EE74C3" w:rsidRPr="00EE74C3" w14:paraId="75A29237"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33922A11" w14:textId="77777777" w:rsidR="00EE74C3" w:rsidRPr="00EE74C3" w:rsidRDefault="00EE74C3" w:rsidP="00EE74C3">
                  <w:pPr>
                    <w:suppressAutoHyphens w:val="0"/>
                    <w:autoSpaceDN/>
                    <w:spacing w:after="0" w:line="240" w:lineRule="auto"/>
                    <w:rPr>
                      <w:rFonts w:ascii="Calibri" w:hAnsi="Calibri" w:cs="Calibri"/>
                      <w:b/>
                      <w:bCs/>
                      <w:color w:val="000000"/>
                    </w:rPr>
                  </w:pPr>
                  <w:r w:rsidRPr="00EE74C3">
                    <w:rPr>
                      <w:rFonts w:ascii="Calibri" w:hAnsi="Calibri" w:cs="Calibri"/>
                      <w:b/>
                      <w:bCs/>
                      <w:color w:val="000000"/>
                    </w:rPr>
                    <w:t>Destination</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0964A88B" w14:textId="77777777" w:rsidR="00EE74C3" w:rsidRPr="00EE74C3" w:rsidRDefault="00EE74C3" w:rsidP="00EE74C3">
                  <w:pPr>
                    <w:suppressAutoHyphens w:val="0"/>
                    <w:autoSpaceDN/>
                    <w:spacing w:after="0" w:line="240" w:lineRule="auto"/>
                    <w:rPr>
                      <w:rFonts w:ascii="Calibri" w:hAnsi="Calibri" w:cs="Calibri"/>
                      <w:b/>
                      <w:bCs/>
                      <w:color w:val="000000"/>
                    </w:rPr>
                  </w:pPr>
                  <w:r w:rsidRPr="00EE74C3">
                    <w:rPr>
                      <w:rFonts w:ascii="Calibri" w:hAnsi="Calibri" w:cs="Calibri"/>
                      <w:b/>
                      <w:bCs/>
                      <w:color w:val="000000"/>
                    </w:rPr>
                    <w:t>Frequency</w:t>
                  </w:r>
                </w:p>
              </w:tc>
            </w:tr>
            <w:tr w:rsidR="00EE74C3" w:rsidRPr="00EE74C3" w14:paraId="5C00F99F"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78D0513F"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Specialist School</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6AC9D518"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15</w:t>
                  </w:r>
                </w:p>
              </w:tc>
            </w:tr>
            <w:tr w:rsidR="00EE74C3" w:rsidRPr="00EE74C3" w14:paraId="540BA64A"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2C752500"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CME</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25193B7B"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0</w:t>
                  </w:r>
                </w:p>
              </w:tc>
            </w:tr>
            <w:tr w:rsidR="00EE74C3" w:rsidRPr="00EE74C3" w14:paraId="36AA7295"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5DF73F18"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EHE</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713C703B"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4</w:t>
                  </w:r>
                </w:p>
              </w:tc>
            </w:tr>
            <w:tr w:rsidR="00EE74C3" w:rsidRPr="00EE74C3" w14:paraId="4E9B0496"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43FA8E61"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Hospital School</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7E34E751"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0</w:t>
                  </w:r>
                </w:p>
              </w:tc>
            </w:tr>
            <w:tr w:rsidR="00EE74C3" w:rsidRPr="00EE74C3" w14:paraId="51A9BB77"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2C0BD991"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Mainstream</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5DA658CE"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10</w:t>
                  </w:r>
                </w:p>
              </w:tc>
            </w:tr>
            <w:tr w:rsidR="00EE74C3" w:rsidRPr="00EE74C3" w14:paraId="1608F441"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77899BE5"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Out of area</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752E8DF5"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8</w:t>
                  </w:r>
                </w:p>
              </w:tc>
            </w:tr>
            <w:tr w:rsidR="00EE74C3" w:rsidRPr="00EE74C3" w14:paraId="5811A979"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708F2C04"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LA</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3F987D74"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0</w:t>
                  </w:r>
                </w:p>
              </w:tc>
            </w:tr>
            <w:tr w:rsidR="00EE74C3" w:rsidRPr="00EE74C3" w14:paraId="5C2D58AB"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389F7B19"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Y11 leaver</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59423663" w14:textId="77777777" w:rsidR="00EE74C3" w:rsidRPr="00EE74C3" w:rsidRDefault="00EE74C3" w:rsidP="00EE74C3">
                  <w:pPr>
                    <w:suppressAutoHyphens w:val="0"/>
                    <w:autoSpaceDN/>
                    <w:spacing w:after="0" w:line="240" w:lineRule="auto"/>
                    <w:rPr>
                      <w:rFonts w:ascii="Calibri" w:hAnsi="Calibri" w:cs="Calibri"/>
                      <w:color w:val="000000"/>
                    </w:rPr>
                  </w:pPr>
                  <w:r w:rsidRPr="00EE74C3">
                    <w:rPr>
                      <w:rFonts w:ascii="Calibri" w:hAnsi="Calibri" w:cs="Calibri"/>
                      <w:color w:val="000000"/>
                    </w:rPr>
                    <w:t>124</w:t>
                  </w:r>
                </w:p>
              </w:tc>
            </w:tr>
            <w:tr w:rsidR="00EE74C3" w:rsidRPr="00EE74C3" w14:paraId="2EDC1E07" w14:textId="77777777" w:rsidTr="00EE74C3">
              <w:trPr>
                <w:trHeight w:val="330"/>
              </w:trPr>
              <w:tc>
                <w:tcPr>
                  <w:tcW w:w="2380" w:type="dxa"/>
                  <w:tcBorders>
                    <w:top w:val="single" w:sz="4" w:space="0" w:color="auto"/>
                    <w:left w:val="single" w:sz="4" w:space="0" w:color="auto"/>
                    <w:bottom w:val="single" w:sz="4" w:space="0" w:color="auto"/>
                    <w:right w:val="single" w:sz="4" w:space="0" w:color="auto"/>
                  </w:tcBorders>
                  <w:noWrap/>
                  <w:vAlign w:val="bottom"/>
                  <w:hideMark/>
                </w:tcPr>
                <w:p w14:paraId="52AF76C1" w14:textId="77777777" w:rsidR="00EE74C3" w:rsidRPr="00EE74C3" w:rsidRDefault="00EE74C3" w:rsidP="00EE74C3">
                  <w:pPr>
                    <w:suppressAutoHyphens w:val="0"/>
                    <w:autoSpaceDN/>
                    <w:spacing w:after="0" w:line="240" w:lineRule="auto"/>
                    <w:rPr>
                      <w:rFonts w:ascii="Calibri" w:hAnsi="Calibri" w:cs="Calibri"/>
                      <w:b/>
                      <w:bCs/>
                      <w:color w:val="000000"/>
                    </w:rPr>
                  </w:pPr>
                  <w:r w:rsidRPr="00EE74C3">
                    <w:rPr>
                      <w:rFonts w:ascii="Calibri" w:hAnsi="Calibri" w:cs="Calibri"/>
                      <w:b/>
                      <w:bCs/>
                      <w:color w:val="000000"/>
                    </w:rPr>
                    <w:t>TOTAL</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306BB3C3" w14:textId="77777777" w:rsidR="00EE74C3" w:rsidRPr="00EE74C3" w:rsidRDefault="00EE74C3" w:rsidP="00EE74C3">
                  <w:pPr>
                    <w:suppressAutoHyphens w:val="0"/>
                    <w:autoSpaceDN/>
                    <w:spacing w:after="0" w:line="240" w:lineRule="auto"/>
                    <w:rPr>
                      <w:rFonts w:ascii="Calibri" w:hAnsi="Calibri" w:cs="Calibri"/>
                      <w:b/>
                      <w:bCs/>
                      <w:color w:val="000000"/>
                    </w:rPr>
                  </w:pPr>
                  <w:r w:rsidRPr="00EE74C3">
                    <w:rPr>
                      <w:rFonts w:ascii="Calibri" w:hAnsi="Calibri" w:cs="Calibri"/>
                      <w:b/>
                      <w:bCs/>
                      <w:color w:val="000000"/>
                    </w:rPr>
                    <w:t>161</w:t>
                  </w:r>
                </w:p>
              </w:tc>
            </w:tr>
          </w:tbl>
          <w:p w14:paraId="4027F01C" w14:textId="1D52523B" w:rsidR="00EE74C3" w:rsidRDefault="00EE74C3">
            <w:pPr>
              <w:spacing w:before="120"/>
            </w:pPr>
            <w:r>
              <w:rPr>
                <w:noProof/>
              </w:rPr>
              <w:drawing>
                <wp:inline distT="0" distB="0" distL="0" distR="0" wp14:anchorId="3804AA23" wp14:editId="23F8B0D6">
                  <wp:extent cx="3062287" cy="2109788"/>
                  <wp:effectExtent l="0" t="0" r="5080" b="5080"/>
                  <wp:docPr id="1" name="Chart 1">
                    <a:extLst xmlns:a="http://schemas.openxmlformats.org/drawingml/2006/main">
                      <a:ext uri="{FF2B5EF4-FFF2-40B4-BE49-F238E27FC236}">
                        <a16:creationId xmlns:a16="http://schemas.microsoft.com/office/drawing/2014/main" id="{E8D75918-1B90-4558-9B44-07124F495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E04A68" w14:textId="77777777" w:rsidR="0057247B" w:rsidRDefault="00F97460">
            <w:pPr>
              <w:spacing w:before="120"/>
            </w:pPr>
            <w:r>
              <w:t xml:space="preserve">Staff from the SEND team and the Pastoral Support team undertook supported, phased, pre-16 transitions which significantly reduced the number of failed transitions. The impact </w:t>
            </w:r>
            <w:r>
              <w:lastRenderedPageBreak/>
              <w:t>of the work to support the post-16 transitions (improved communication, additional staffing deployed to support enrolment) is still being monitored but currently this is very positive (see charts below).</w:t>
            </w:r>
          </w:p>
          <w:p w14:paraId="0079C18F" w14:textId="2523FE5B" w:rsidR="0057247B" w:rsidRDefault="0057247B">
            <w:pPr>
              <w:spacing w:before="120"/>
            </w:pPr>
            <w:r>
              <w:rPr>
                <w:noProof/>
              </w:rPr>
              <w:drawing>
                <wp:inline distT="0" distB="0" distL="0" distR="0" wp14:anchorId="25661C84" wp14:editId="587F426C">
                  <wp:extent cx="5157470" cy="399351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7470" cy="3993515"/>
                          </a:xfrm>
                          <a:prstGeom prst="rect">
                            <a:avLst/>
                          </a:prstGeom>
                          <a:noFill/>
                        </pic:spPr>
                      </pic:pic>
                    </a:graphicData>
                  </a:graphic>
                </wp:inline>
              </w:drawing>
            </w:r>
          </w:p>
          <w:p w14:paraId="5092205E" w14:textId="3B215C22" w:rsidR="00AB6761" w:rsidRDefault="006D5949">
            <w:pPr>
              <w:spacing w:before="120"/>
            </w:pPr>
            <w:r w:rsidRPr="009C56D5">
              <w:t>Attendance</w:t>
            </w:r>
            <w:r w:rsidR="00C929A2" w:rsidRPr="009C56D5">
              <w:t xml:space="preserve"> – A large number of home visits were undertaken due to </w:t>
            </w:r>
            <w:proofErr w:type="spellStart"/>
            <w:r w:rsidR="00C929A2" w:rsidRPr="009C56D5">
              <w:t>Covid</w:t>
            </w:r>
            <w:proofErr w:type="spellEnd"/>
            <w:r w:rsidR="00C929A2" w:rsidRPr="009C56D5">
              <w:t xml:space="preserve"> restrictions, Money used </w:t>
            </w:r>
            <w:r w:rsidR="005D3B55">
              <w:t>to support high level of home sc</w:t>
            </w:r>
            <w:r w:rsidR="00C929A2" w:rsidRPr="009C56D5">
              <w:t>hool contacts. (Pupil and staff feedback)</w:t>
            </w:r>
            <w:r w:rsidR="00AB6761">
              <w:t>. In the academic year 2020,-21, 264 home visits for students across 19 of our Centres were unde</w:t>
            </w:r>
            <w:r w:rsidR="00F97460">
              <w:t>rtaken by the Pastoral Support t</w:t>
            </w:r>
            <w:r w:rsidR="00AB6761">
              <w:t xml:space="preserve">eam with a specific focus on improving attendance. In our three ‘intensive support’ centres, where the proportion of PP students is very high, 70 home visits were undertaken. The overall impact of this strategy </w:t>
            </w:r>
            <w:proofErr w:type="spellStart"/>
            <w:r w:rsidR="00AB6761">
              <w:t>can not</w:t>
            </w:r>
            <w:proofErr w:type="spellEnd"/>
            <w:r w:rsidR="00AB6761">
              <w:t xml:space="preserve"> be determined due to </w:t>
            </w:r>
            <w:proofErr w:type="spellStart"/>
            <w:r w:rsidR="00AB6761">
              <w:t>Covid</w:t>
            </w:r>
            <w:proofErr w:type="spellEnd"/>
            <w:r w:rsidR="00AB6761">
              <w:t xml:space="preserve"> but in the autumn term, the direct focus on attendance resulted in a </w:t>
            </w:r>
            <w:r w:rsidR="00AB6761" w:rsidRPr="00AB6761">
              <w:rPr>
                <w:color w:val="FF0000"/>
              </w:rPr>
              <w:t xml:space="preserve">X.X% </w:t>
            </w:r>
            <w:r w:rsidR="00AB6761">
              <w:t>increase in attendance on the same time in the previous year.</w:t>
            </w:r>
          </w:p>
          <w:p w14:paraId="4E878DFC" w14:textId="77777777" w:rsidR="00D95AB4" w:rsidRDefault="00C929A2">
            <w:pPr>
              <w:spacing w:before="120"/>
            </w:pPr>
            <w:r w:rsidRPr="009C56D5">
              <w:t xml:space="preserve">Physical and Mental Health.  - The school nurse service was not available. High number of home school contacts, Student wellbeing packs and visits. Support for Home FSM where necessary (Positive </w:t>
            </w:r>
            <w:r w:rsidR="006D5949" w:rsidRPr="009C56D5">
              <w:t>feedback</w:t>
            </w:r>
            <w:r w:rsidRPr="009C56D5">
              <w:t xml:space="preserve"> from Staff, pupils a</w:t>
            </w:r>
            <w:r w:rsidR="0057247B">
              <w:t xml:space="preserve">nd parents). Positive feedback from parents was gathered via Microsoft Office – Forms:- </w:t>
            </w:r>
          </w:p>
          <w:p w14:paraId="16107011" w14:textId="26BB489B" w:rsidR="00D95AB4" w:rsidRDefault="00C840B9">
            <w:pPr>
              <w:spacing w:before="120"/>
            </w:pPr>
            <w:hyperlink r:id="rId19" w:history="1">
              <w:r w:rsidR="00D95AB4" w:rsidRPr="0087724B">
                <w:rPr>
                  <w:rStyle w:val="Hyperlink"/>
                </w:rPr>
                <w:t>https://forms.office.com/r/RP3Dnk0cHc</w:t>
              </w:r>
            </w:hyperlink>
          </w:p>
          <w:p w14:paraId="59C0E5B4" w14:textId="77777777" w:rsidR="00D95AB4" w:rsidRDefault="00D95AB4">
            <w:pPr>
              <w:spacing w:before="120"/>
            </w:pPr>
          </w:p>
          <w:p w14:paraId="1E73635F" w14:textId="0FF20D8B" w:rsidR="00D95AB4" w:rsidRDefault="00C929A2">
            <w:pPr>
              <w:spacing w:before="120"/>
            </w:pPr>
            <w:r w:rsidRPr="009C56D5">
              <w:t xml:space="preserve">Inability to concentrate in classroom setting – Redirected resource to support for on line learning. Project to re-establish pupils in classroom on their return </w:t>
            </w:r>
            <w:r w:rsidR="00E60B9C" w:rsidRPr="009C56D5">
              <w:t>(Positive f</w:t>
            </w:r>
            <w:r w:rsidRPr="009C56D5">
              <w:t xml:space="preserve">eedback </w:t>
            </w:r>
            <w:r w:rsidRPr="009C56D5">
              <w:lastRenderedPageBreak/>
              <w:t>from Staff, pupils a</w:t>
            </w:r>
            <w:r w:rsidR="00D95AB4">
              <w:t>n</w:t>
            </w:r>
            <w:r w:rsidRPr="009C56D5">
              <w:t>d pa</w:t>
            </w:r>
            <w:r w:rsidR="00D95AB4">
              <w:t>rents, improved exam results). Positive feedback from parents was gathered via Microsoft Office – Forms:-</w:t>
            </w:r>
          </w:p>
          <w:p w14:paraId="586E3911" w14:textId="769A5231" w:rsidR="00D95AB4" w:rsidRDefault="00C840B9" w:rsidP="00D95AB4">
            <w:pPr>
              <w:spacing w:before="120"/>
              <w:rPr>
                <w:rStyle w:val="Hyperlink"/>
              </w:rPr>
            </w:pPr>
            <w:hyperlink r:id="rId20" w:history="1">
              <w:r w:rsidR="00D95AB4" w:rsidRPr="0087724B">
                <w:rPr>
                  <w:rStyle w:val="Hyperlink"/>
                </w:rPr>
                <w:t>https://forms.office.com/r/vH7td39yX3</w:t>
              </w:r>
            </w:hyperlink>
          </w:p>
          <w:p w14:paraId="19501857" w14:textId="3589D0C8" w:rsidR="008857C5" w:rsidRDefault="008857C5" w:rsidP="00D95AB4">
            <w:pPr>
              <w:spacing w:before="120"/>
              <w:rPr>
                <w:rStyle w:val="Hyperlink"/>
              </w:rPr>
            </w:pPr>
            <w:r w:rsidRPr="008857C5">
              <w:rPr>
                <w:color w:val="0000FF"/>
                <w:u w:val="single"/>
              </w:rPr>
              <w:drawing>
                <wp:inline distT="0" distB="0" distL="0" distR="0" wp14:anchorId="031B5DB4" wp14:editId="4BE67C16">
                  <wp:extent cx="6029960" cy="4678680"/>
                  <wp:effectExtent l="0" t="0" r="8890" b="7620"/>
                  <wp:docPr id="5" name="Picture 4" descr="cid:d049ba99-9f96-48a9-8732-9f930ad14861"/>
                  <wp:cNvGraphicFramePr/>
                  <a:graphic xmlns:a="http://schemas.openxmlformats.org/drawingml/2006/main">
                    <a:graphicData uri="http://schemas.openxmlformats.org/drawingml/2006/picture">
                      <pic:pic xmlns:pic="http://schemas.openxmlformats.org/drawingml/2006/picture">
                        <pic:nvPicPr>
                          <pic:cNvPr id="5" name="Picture 4" descr="cid:d049ba99-9f96-48a9-8732-9f930ad14861"/>
                          <pic:cNvPicPr/>
                        </pic:nvPicPr>
                        <pic:blipFill rotWithShape="1">
                          <a:blip r:embed="rId21" r:link="rId22">
                            <a:extLst>
                              <a:ext uri="{28A0092B-C50C-407E-A947-70E740481C1C}">
                                <a14:useLocalDpi xmlns:a14="http://schemas.microsoft.com/office/drawing/2010/main" val="0"/>
                              </a:ext>
                            </a:extLst>
                          </a:blip>
                          <a:srcRect l="42882" t="17441" r="18724" b="6287"/>
                          <a:stretch/>
                        </pic:blipFill>
                        <pic:spPr bwMode="auto">
                          <a:xfrm>
                            <a:off x="0" y="0"/>
                            <a:ext cx="6029960" cy="4678680"/>
                          </a:xfrm>
                          <a:prstGeom prst="rect">
                            <a:avLst/>
                          </a:prstGeom>
                          <a:noFill/>
                          <a:ln>
                            <a:noFill/>
                          </a:ln>
                          <a:extLst>
                            <a:ext uri="{53640926-AAD7-44D8-BBD7-CCE9431645EC}">
                              <a14:shadowObscured xmlns:a14="http://schemas.microsoft.com/office/drawing/2010/main"/>
                            </a:ext>
                          </a:extLst>
                        </pic:spPr>
                      </pic:pic>
                    </a:graphicData>
                  </a:graphic>
                </wp:inline>
              </w:drawing>
            </w:r>
          </w:p>
          <w:p w14:paraId="14060A4C" w14:textId="0B988A67" w:rsidR="008857C5" w:rsidRPr="008857C5" w:rsidRDefault="008857C5" w:rsidP="008857C5">
            <w:pPr>
              <w:numPr>
                <w:ilvl w:val="0"/>
                <w:numId w:val="1"/>
              </w:numPr>
              <w:spacing w:before="120"/>
            </w:pPr>
            <w:r w:rsidRPr="008857C5">
              <w:rPr>
                <w:lang w:val="en-US"/>
              </w:rPr>
              <w:t xml:space="preserve">The data </w:t>
            </w:r>
            <w:r>
              <w:rPr>
                <w:lang w:val="en-US"/>
              </w:rPr>
              <w:t xml:space="preserve">above </w:t>
            </w:r>
            <w:r w:rsidRPr="008857C5">
              <w:rPr>
                <w:lang w:val="en-US"/>
              </w:rPr>
              <w:t>shows the PASS results from around 100 stud</w:t>
            </w:r>
            <w:r>
              <w:rPr>
                <w:lang w:val="en-US"/>
              </w:rPr>
              <w:t xml:space="preserve">ents taken in summer last year. </w:t>
            </w:r>
            <w:r w:rsidRPr="008857C5">
              <w:rPr>
                <w:lang w:val="en-US"/>
              </w:rPr>
              <w:t>The strongest outcome was ‘Attitudes to Teachers’ and the lowest was ‘Preparedness for learning’. We will be tracking this cohort as closely as possible so that we can re-issue the PASS at a later date to compare results</w:t>
            </w:r>
          </w:p>
          <w:p w14:paraId="0F46FEA7" w14:textId="508162BD" w:rsidR="00D95AB4" w:rsidRDefault="00D95AB4" w:rsidP="00D95AB4">
            <w:pPr>
              <w:spacing w:before="120"/>
            </w:pPr>
            <w:r>
              <w:t>Improved exam results were seen in the school’s analysis of the KS4 results:</w:t>
            </w:r>
          </w:p>
          <w:p w14:paraId="463AF143" w14:textId="23D2F8F5" w:rsidR="00D95AB4" w:rsidRDefault="00D95AB4" w:rsidP="00D95AB4">
            <w:pPr>
              <w:spacing w:before="120"/>
            </w:pPr>
            <w:r>
              <w:rPr>
                <w:noProof/>
              </w:rPr>
              <w:lastRenderedPageBreak/>
              <w:drawing>
                <wp:inline distT="0" distB="0" distL="0" distR="0" wp14:anchorId="3705AAFA" wp14:editId="373E717D">
                  <wp:extent cx="5727795" cy="3292792"/>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0271" cy="3305713"/>
                          </a:xfrm>
                          <a:prstGeom prst="rect">
                            <a:avLst/>
                          </a:prstGeom>
                          <a:noFill/>
                        </pic:spPr>
                      </pic:pic>
                    </a:graphicData>
                  </a:graphic>
                </wp:inline>
              </w:drawing>
            </w:r>
          </w:p>
          <w:p w14:paraId="667A361F" w14:textId="0BD60895" w:rsidR="00C929A2" w:rsidRPr="009C56D5" w:rsidRDefault="00C929A2" w:rsidP="00C929A2">
            <w:pPr>
              <w:spacing w:before="120"/>
            </w:pPr>
            <w:r w:rsidRPr="009C56D5">
              <w:t xml:space="preserve">Narrowness of Curriculum – Ensured full width of curriculum to all pupils during lockdown. Enrichment activities on their return to class.  </w:t>
            </w:r>
            <w:r w:rsidR="00E60B9C" w:rsidRPr="009C56D5">
              <w:t xml:space="preserve">(Positive </w:t>
            </w:r>
            <w:r w:rsidRPr="009C56D5">
              <w:t>feedback from Staff, pupils a</w:t>
            </w:r>
            <w:r w:rsidR="00BD0B9F">
              <w:t>n</w:t>
            </w:r>
            <w:r w:rsidRPr="009C56D5">
              <w:t xml:space="preserve">d parents, improved exam results)   </w:t>
            </w:r>
          </w:p>
          <w:p w14:paraId="4BF7A929" w14:textId="740F6F00" w:rsidR="00F62B31" w:rsidRDefault="00C929A2">
            <w:pPr>
              <w:spacing w:before="120"/>
              <w:rPr>
                <w:color w:val="auto"/>
              </w:rPr>
            </w:pPr>
            <w:r w:rsidRPr="009C56D5">
              <w:t>LAC Pupils High level of support through lockdown and on return.</w:t>
            </w:r>
            <w:r w:rsidRPr="005D3B55">
              <w:rPr>
                <w:color w:val="auto"/>
              </w:rPr>
              <w:t xml:space="preserve"> </w:t>
            </w:r>
            <w:r w:rsidR="005D3B55" w:rsidRPr="005D3B55">
              <w:rPr>
                <w:color w:val="auto"/>
              </w:rPr>
              <w:t>LAC pupils supported with Post-16 transitions throughout the summ</w:t>
            </w:r>
            <w:r w:rsidR="00363E18">
              <w:rPr>
                <w:color w:val="auto"/>
              </w:rPr>
              <w:t xml:space="preserve">er and in the autumn term. The </w:t>
            </w:r>
            <w:r w:rsidR="00F62B31">
              <w:rPr>
                <w:color w:val="auto"/>
              </w:rPr>
              <w:t>improved outcomes for LAC pupils in 2019-20 were sustained in 2020-21 and the improvement for this group of pupils outstripped the overall improvement in outcomes (</w:t>
            </w:r>
            <w:r w:rsidR="00363E18">
              <w:rPr>
                <w:color w:val="auto"/>
              </w:rPr>
              <w:t>average points score</w:t>
            </w:r>
            <w:r w:rsidR="00F62B31">
              <w:rPr>
                <w:color w:val="auto"/>
              </w:rPr>
              <w:t>). A</w:t>
            </w:r>
            <w:r w:rsidR="005D3B55" w:rsidRPr="005D3B55">
              <w:rPr>
                <w:color w:val="auto"/>
              </w:rPr>
              <w:t>ll</w:t>
            </w:r>
            <w:r w:rsidR="00F62B31">
              <w:rPr>
                <w:color w:val="auto"/>
              </w:rPr>
              <w:t xml:space="preserve"> students</w:t>
            </w:r>
            <w:r w:rsidR="005D3B55" w:rsidRPr="005D3B55">
              <w:rPr>
                <w:color w:val="auto"/>
              </w:rPr>
              <w:t xml:space="preserve"> gained qualifications</w:t>
            </w:r>
            <w:r w:rsidR="005D3B55">
              <w:rPr>
                <w:color w:val="auto"/>
              </w:rPr>
              <w:t xml:space="preserve"> which allowed them to m</w:t>
            </w:r>
            <w:r w:rsidR="00F62B31">
              <w:rPr>
                <w:color w:val="auto"/>
              </w:rPr>
              <w:t>ove on to suitable destinations (see table below).</w:t>
            </w:r>
          </w:p>
          <w:p w14:paraId="1E24BC41" w14:textId="1A2D03CE" w:rsidR="00363E18" w:rsidRDefault="00363E18">
            <w:pPr>
              <w:spacing w:before="120"/>
              <w:rPr>
                <w:color w:val="auto"/>
              </w:rPr>
            </w:pPr>
            <w:r>
              <w:rPr>
                <w:noProof/>
                <w:color w:val="auto"/>
              </w:rPr>
              <w:drawing>
                <wp:inline distT="0" distB="0" distL="0" distR="0" wp14:anchorId="1EA72EFF" wp14:editId="03D44F7A">
                  <wp:extent cx="5028100" cy="17430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93333" cy="1765689"/>
                          </a:xfrm>
                          <a:prstGeom prst="rect">
                            <a:avLst/>
                          </a:prstGeom>
                          <a:noFill/>
                        </pic:spPr>
                      </pic:pic>
                    </a:graphicData>
                  </a:graphic>
                </wp:inline>
              </w:drawing>
            </w:r>
          </w:p>
          <w:p w14:paraId="2A7D5546" w14:textId="79B1A3FF" w:rsidR="00E66558" w:rsidRDefault="00C929A2" w:rsidP="00F62B31">
            <w:pPr>
              <w:spacing w:before="120"/>
            </w:pPr>
            <w:r w:rsidRPr="009C56D5">
              <w:t>Additional individualised support of pupils during lockdown.</w:t>
            </w:r>
            <w:r w:rsidR="001C484D" w:rsidRPr="009C56D5">
              <w:t xml:space="preserve"> Extra support on return. </w:t>
            </w:r>
            <w:r w:rsidR="006D5949" w:rsidRPr="009C56D5">
              <w:t>Additional</w:t>
            </w:r>
            <w:r w:rsidR="00F62B31">
              <w:t xml:space="preserve"> CPD for all staff.</w:t>
            </w:r>
            <w:r w:rsidR="009D71E8">
              <w:rPr>
                <w:i/>
                <w:lang w:eastAsia="en-US"/>
              </w:rPr>
              <w:t xml:space="preserv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D4E3632" w:rsidR="00E66558" w:rsidRDefault="001C484D">
            <w:pPr>
              <w:pStyle w:val="TableRow"/>
            </w:pPr>
            <w: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E0FD755" w:rsidR="00E66558" w:rsidRDefault="003C795B">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8E24779" w:rsidR="00E66558" w:rsidRDefault="003C795B">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226766B4" w:rsidR="00E66558" w:rsidRPr="003C795B" w:rsidRDefault="00FA56C5">
            <w:pPr>
              <w:spacing w:before="120" w:after="120"/>
              <w:rPr>
                <w:rFonts w:cs="Arial"/>
                <w:iCs/>
              </w:rPr>
            </w:pPr>
            <w:r w:rsidRPr="003C795B">
              <w:rPr>
                <w:rFonts w:cs="Arial"/>
                <w:iCs/>
              </w:rPr>
              <w:t>There are a large number of Subsidiary Dual registered pupils who are entitled to PPG. However the money goes to their home s</w:t>
            </w:r>
            <w:r w:rsidR="00BD0B9F">
              <w:rPr>
                <w:rFonts w:cs="Arial"/>
                <w:iCs/>
              </w:rPr>
              <w:t>chools. Many of these school use</w:t>
            </w:r>
            <w:r w:rsidRPr="003C795B">
              <w:rPr>
                <w:rFonts w:cs="Arial"/>
                <w:iCs/>
              </w:rPr>
              <w:t xml:space="preserve"> this money as part of the funding to place the pupils with us.  As such these pupils are entitled to extra support but we receive no money to provide it.</w:t>
            </w:r>
          </w:p>
          <w:p w14:paraId="767E309A" w14:textId="58E99D02" w:rsidR="00FA56C5" w:rsidRPr="003C795B" w:rsidRDefault="00FA56C5">
            <w:pPr>
              <w:spacing w:before="120" w:after="120"/>
              <w:rPr>
                <w:rFonts w:cs="Arial"/>
                <w:iCs/>
              </w:rPr>
            </w:pPr>
            <w:r w:rsidRPr="003C795B">
              <w:rPr>
                <w:rFonts w:cs="Arial"/>
                <w:iCs/>
              </w:rPr>
              <w:t xml:space="preserve">The money we do receive is therefore used to provide support to all pupils irrespective of registration </w:t>
            </w:r>
            <w:r w:rsidR="003C795B" w:rsidRPr="003C795B">
              <w:rPr>
                <w:rFonts w:cs="Arial"/>
                <w:iCs/>
              </w:rPr>
              <w:t>status but thi</w:t>
            </w:r>
            <w:r w:rsidRPr="003C795B">
              <w:rPr>
                <w:rFonts w:cs="Arial"/>
                <w:iCs/>
              </w:rPr>
              <w:t>s</w:t>
            </w:r>
            <w:r w:rsidR="003C795B" w:rsidRPr="003C795B">
              <w:rPr>
                <w:rFonts w:cs="Arial"/>
                <w:iCs/>
              </w:rPr>
              <w:t xml:space="preserve"> </w:t>
            </w:r>
            <w:r w:rsidRPr="003C795B">
              <w:rPr>
                <w:rFonts w:cs="Arial"/>
                <w:iCs/>
              </w:rPr>
              <w:t>is less than there should be.</w:t>
            </w:r>
          </w:p>
          <w:p w14:paraId="153940BA" w14:textId="60F8DC23" w:rsidR="003C795B" w:rsidRPr="003C795B" w:rsidRDefault="003C795B">
            <w:pPr>
              <w:spacing w:before="120" w:after="120"/>
              <w:rPr>
                <w:rFonts w:cs="Arial"/>
                <w:iCs/>
              </w:rPr>
            </w:pPr>
            <w:r w:rsidRPr="003C795B">
              <w:rPr>
                <w:rFonts w:cs="Arial"/>
                <w:iCs/>
              </w:rPr>
              <w:t xml:space="preserve">Our pupils grow over the year from around 250 in September to 420 in July. The PPG being based on the October census means we do not receive </w:t>
            </w:r>
            <w:r w:rsidR="00E60B9C">
              <w:rPr>
                <w:rFonts w:cs="Arial"/>
                <w:iCs/>
              </w:rPr>
              <w:t xml:space="preserve">funding for all our </w:t>
            </w:r>
            <w:r w:rsidR="005952BD">
              <w:rPr>
                <w:rFonts w:cs="Arial"/>
                <w:iCs/>
              </w:rPr>
              <w:t>pupils. The money for those</w:t>
            </w:r>
            <w:r w:rsidRPr="003C795B">
              <w:rPr>
                <w:rFonts w:cs="Arial"/>
                <w:iCs/>
              </w:rPr>
              <w:t xml:space="preserve"> who arrive later the money will go to the school they were at in October.</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25"/>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C6FF" w14:textId="77777777" w:rsidR="00607855" w:rsidRDefault="00607855">
      <w:pPr>
        <w:spacing w:after="0" w:line="240" w:lineRule="auto"/>
      </w:pPr>
      <w:r>
        <w:separator/>
      </w:r>
    </w:p>
  </w:endnote>
  <w:endnote w:type="continuationSeparator" w:id="0">
    <w:p w14:paraId="5BBBD86B" w14:textId="77777777" w:rsidR="00607855" w:rsidRDefault="0060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01EC6F4" w:rsidR="005E28A4" w:rsidRDefault="006D5949" w:rsidP="006D5949">
    <w:pPr>
      <w:pStyle w:val="Footer"/>
      <w:ind w:firstLine="2552"/>
    </w:pPr>
    <w:r>
      <w:t xml:space="preserve">Page </w:t>
    </w:r>
    <w:r w:rsidR="009D71E8">
      <w:fldChar w:fldCharType="begin"/>
    </w:r>
    <w:r w:rsidR="009D71E8">
      <w:instrText xml:space="preserve"> PAGE </w:instrText>
    </w:r>
    <w:r w:rsidR="009D71E8">
      <w:fldChar w:fldCharType="separate"/>
    </w:r>
    <w:r w:rsidR="00C840B9">
      <w:rPr>
        <w:noProof/>
      </w:rPr>
      <w:t>2</w:t>
    </w:r>
    <w:r w:rsidR="009D71E8">
      <w:fldChar w:fldCharType="end"/>
    </w:r>
    <w:r>
      <w:t xml:space="preserve"> Manchester Secondary PRU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B5C3D" w14:textId="77777777" w:rsidR="00607855" w:rsidRDefault="00607855">
      <w:pPr>
        <w:spacing w:after="0" w:line="240" w:lineRule="auto"/>
      </w:pPr>
      <w:r>
        <w:separator/>
      </w:r>
    </w:p>
  </w:footnote>
  <w:footnote w:type="continuationSeparator" w:id="0">
    <w:p w14:paraId="36A6D51D" w14:textId="77777777" w:rsidR="00607855" w:rsidRDefault="0060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25A4FC82" w:rsidR="005E28A4" w:rsidRDefault="006D5949">
    <w:pPr>
      <w:pStyle w:val="Header"/>
    </w:pPr>
    <w:r>
      <w:rPr>
        <w:noProof/>
      </w:rPr>
      <w:drawing>
        <wp:inline distT="0" distB="0" distL="0" distR="0" wp14:anchorId="17DE7920" wp14:editId="345B1798">
          <wp:extent cx="118872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73866FC"/>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54FD39BF"/>
    <w:multiLevelType w:val="multilevel"/>
    <w:tmpl w:val="1D4C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7D1503"/>
    <w:multiLevelType w:val="multilevel"/>
    <w:tmpl w:val="3F26E3D2"/>
    <w:lvl w:ilvl="0">
      <w:start w:val="1"/>
      <w:numFmt w:val="bullet"/>
      <w:lvlText w:val=""/>
      <w:lvlJc w:val="left"/>
      <w:pPr>
        <w:ind w:left="777" w:hanging="360"/>
      </w:pPr>
      <w:rPr>
        <w:rFonts w:ascii="Symbol" w:hAnsi="Symbol" w:hint="default"/>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7C128DB"/>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8"/>
  </w:num>
  <w:num w:numId="15">
    <w:abstractNumId w:val="1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46E9"/>
    <w:rsid w:val="00066B73"/>
    <w:rsid w:val="000F2923"/>
    <w:rsid w:val="00120AB1"/>
    <w:rsid w:val="001C484D"/>
    <w:rsid w:val="00214D48"/>
    <w:rsid w:val="002D54D6"/>
    <w:rsid w:val="00363E18"/>
    <w:rsid w:val="003C795B"/>
    <w:rsid w:val="004044AA"/>
    <w:rsid w:val="0045645A"/>
    <w:rsid w:val="0057247B"/>
    <w:rsid w:val="005952BD"/>
    <w:rsid w:val="005D3B55"/>
    <w:rsid w:val="00607855"/>
    <w:rsid w:val="006D5949"/>
    <w:rsid w:val="006E7FB1"/>
    <w:rsid w:val="00741B9E"/>
    <w:rsid w:val="007C2F04"/>
    <w:rsid w:val="008857C5"/>
    <w:rsid w:val="0093384C"/>
    <w:rsid w:val="0098091B"/>
    <w:rsid w:val="009B0F41"/>
    <w:rsid w:val="009C56D5"/>
    <w:rsid w:val="009D71E8"/>
    <w:rsid w:val="009E5F29"/>
    <w:rsid w:val="00A422C7"/>
    <w:rsid w:val="00AB6761"/>
    <w:rsid w:val="00BD0B9F"/>
    <w:rsid w:val="00BF5E19"/>
    <w:rsid w:val="00C5641C"/>
    <w:rsid w:val="00C840B9"/>
    <w:rsid w:val="00C929A2"/>
    <w:rsid w:val="00CB5ADC"/>
    <w:rsid w:val="00D33FE5"/>
    <w:rsid w:val="00D95AB4"/>
    <w:rsid w:val="00E60B9C"/>
    <w:rsid w:val="00E66558"/>
    <w:rsid w:val="00EE74C3"/>
    <w:rsid w:val="00F62B31"/>
    <w:rsid w:val="00F97460"/>
    <w:rsid w:val="00FA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9E5F29"/>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9E5F29"/>
    <w:rPr>
      <w:b/>
      <w:bCs/>
    </w:rPr>
  </w:style>
  <w:style w:type="character" w:styleId="PlaceholderText">
    <w:name w:val="Placeholder Text"/>
    <w:basedOn w:val="DefaultParagraphFont"/>
    <w:rsid w:val="00BF5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0453">
      <w:bodyDiv w:val="1"/>
      <w:marLeft w:val="0"/>
      <w:marRight w:val="0"/>
      <w:marTop w:val="0"/>
      <w:marBottom w:val="0"/>
      <w:divBdr>
        <w:top w:val="none" w:sz="0" w:space="0" w:color="auto"/>
        <w:left w:val="none" w:sz="0" w:space="0" w:color="auto"/>
        <w:bottom w:val="none" w:sz="0" w:space="0" w:color="auto"/>
        <w:right w:val="none" w:sz="0" w:space="0" w:color="auto"/>
      </w:divBdr>
      <w:divsChild>
        <w:div w:id="1218784619">
          <w:marLeft w:val="0"/>
          <w:marRight w:val="0"/>
          <w:marTop w:val="0"/>
          <w:marBottom w:val="0"/>
          <w:divBdr>
            <w:top w:val="none" w:sz="0" w:space="0" w:color="auto"/>
            <w:left w:val="none" w:sz="0" w:space="0" w:color="auto"/>
            <w:bottom w:val="none" w:sz="0" w:space="0" w:color="auto"/>
            <w:right w:val="none" w:sz="0" w:space="0" w:color="auto"/>
          </w:divBdr>
        </w:div>
      </w:divsChild>
    </w:div>
    <w:div w:id="1178888817">
      <w:bodyDiv w:val="1"/>
      <w:marLeft w:val="0"/>
      <w:marRight w:val="0"/>
      <w:marTop w:val="0"/>
      <w:marBottom w:val="0"/>
      <w:divBdr>
        <w:top w:val="none" w:sz="0" w:space="0" w:color="auto"/>
        <w:left w:val="none" w:sz="0" w:space="0" w:color="auto"/>
        <w:bottom w:val="none" w:sz="0" w:space="0" w:color="auto"/>
        <w:right w:val="none" w:sz="0" w:space="0" w:color="auto"/>
      </w:divBdr>
    </w:div>
    <w:div w:id="1912039654">
      <w:bodyDiv w:val="1"/>
      <w:marLeft w:val="0"/>
      <w:marRight w:val="0"/>
      <w:marTop w:val="0"/>
      <w:marBottom w:val="0"/>
      <w:divBdr>
        <w:top w:val="none" w:sz="0" w:space="0" w:color="auto"/>
        <w:left w:val="none" w:sz="0" w:space="0" w:color="auto"/>
        <w:bottom w:val="none" w:sz="0" w:space="0" w:color="auto"/>
        <w:right w:val="none" w:sz="0" w:space="0" w:color="auto"/>
      </w:divBdr>
      <w:divsChild>
        <w:div w:id="5386663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guidance-reports/metacognition-and-self-regulated-learning/" TargetMode="External"/><Relationship Id="rId13" Type="http://schemas.openxmlformats.org/officeDocument/2006/relationships/hyperlink" Target="https://educationendowmentfoundation.org.uk/evidence-summaries/teaching-learning-toolkit/"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www.thinkingmatters.com/about/the-big-picture" TargetMode="External"/><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heu.org.uk/" TargetMode="External"/><Relationship Id="rId20" Type="http://schemas.openxmlformats.org/officeDocument/2006/relationships/hyperlink" Target="https://forms.office.com/r/vH7td39yX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guidance-reports/feedback/"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sec-ed.co.uk/best-practice/pupil-wellbeing-the-healing-power-of-art"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educationendowmentfoundation.org.uk/tools/guidance-reports/literacy-ks-2/" TargetMode="External"/><Relationship Id="rId19" Type="http://schemas.openxmlformats.org/officeDocument/2006/relationships/hyperlink" Target="https://forms.office.com/r/RP3Dnk0cHc" TargetMode="External"/><Relationship Id="rId4" Type="http://schemas.openxmlformats.org/officeDocument/2006/relationships/webSettings" Target="webSettings.xml"/><Relationship Id="rId9" Type="http://schemas.openxmlformats.org/officeDocument/2006/relationships/hyperlink" Target="https://educationendowmentfoundation.org.uk/tools/guidance-reports/literacy-ks-1/" TargetMode="External"/><Relationship Id="rId14" Type="http://schemas.openxmlformats.org/officeDocument/2006/relationships/hyperlink" Target="https://educationendowmentfoundation.org.uk/evidence-summaries/pupil-premium-guide/" TargetMode="External"/><Relationship Id="rId22" Type="http://schemas.openxmlformats.org/officeDocument/2006/relationships/image" Target="cid:d049ba99-9f96-48a9-8732-9f930ad1486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25" b="1" i="0" u="none" strike="noStrike" kern="1200" baseline="0">
                <a:solidFill>
                  <a:srgbClr val="000000"/>
                </a:solidFill>
                <a:latin typeface="Arial"/>
                <a:ea typeface="Arial"/>
                <a:cs typeface="Arial"/>
              </a:defRPr>
            </a:pPr>
            <a:r>
              <a:rPr lang="en-US"/>
              <a:t>Destinations 2020-21</a:t>
            </a:r>
            <a:r>
              <a:rPr lang="en-US" baseline="0"/>
              <a:t> HT1-6</a:t>
            </a:r>
            <a:endParaRPr lang="en-US"/>
          </a:p>
        </c:rich>
      </c:tx>
      <c:layout>
        <c:manualLayout>
          <c:xMode val="edge"/>
          <c:yMode val="edge"/>
          <c:x val="0.12112692716621805"/>
          <c:y val="4.3243243243243246E-2"/>
        </c:manualLayout>
      </c:layout>
      <c:overlay val="0"/>
      <c:spPr>
        <a:noFill/>
        <a:ln w="25400">
          <a:noFill/>
        </a:ln>
        <a:effectLst/>
      </c:spPr>
      <c:txPr>
        <a:bodyPr rot="0" spcFirstLastPara="1" vertOverflow="ellipsis" vert="horz" wrap="square" anchor="ctr" anchorCtr="1"/>
        <a:lstStyle/>
        <a:p>
          <a:pPr>
            <a:defRPr sz="925" b="1" i="0" u="none" strike="noStrike" kern="1200" baseline="0">
              <a:solidFill>
                <a:srgbClr val="000000"/>
              </a:solidFill>
              <a:latin typeface="Arial"/>
              <a:ea typeface="Arial"/>
              <a:cs typeface="Arial"/>
            </a:defRPr>
          </a:pPr>
          <a:endParaRPr lang="en-US"/>
        </a:p>
      </c:txPr>
    </c:title>
    <c:autoTitleDeleted val="0"/>
    <c:view3D>
      <c:rotX val="15"/>
      <c:rotY val="0"/>
      <c:rAngAx val="0"/>
      <c:perspective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873347922188489E-2"/>
          <c:y val="0.37297297297297299"/>
          <c:w val="0.54929653017238411"/>
          <c:h val="0.41621621621621624"/>
        </c:manualLayout>
      </c:layout>
      <c:pie3DChart>
        <c:varyColors val="1"/>
        <c:ser>
          <c:idx val="0"/>
          <c:order val="0"/>
          <c:dPt>
            <c:idx val="0"/>
            <c:bubble3D val="0"/>
            <c:spPr>
              <a:solidFill>
                <a:schemeClr val="accent6"/>
              </a:solidFill>
              <a:ln>
                <a:noFill/>
              </a:ln>
              <a:effectLst/>
              <a:sp3d/>
            </c:spPr>
            <c:extLst>
              <c:ext xmlns:c16="http://schemas.microsoft.com/office/drawing/2014/chart" uri="{C3380CC4-5D6E-409C-BE32-E72D297353CC}">
                <c16:uniqueId val="{00000001-16D3-4E0E-954A-6B066CA7869F}"/>
              </c:ext>
            </c:extLst>
          </c:dPt>
          <c:dPt>
            <c:idx val="1"/>
            <c:bubble3D val="0"/>
            <c:spPr>
              <a:solidFill>
                <a:schemeClr val="accent5"/>
              </a:solidFill>
              <a:ln>
                <a:noFill/>
              </a:ln>
              <a:effectLst/>
              <a:sp3d/>
            </c:spPr>
            <c:extLst>
              <c:ext xmlns:c16="http://schemas.microsoft.com/office/drawing/2014/chart" uri="{C3380CC4-5D6E-409C-BE32-E72D297353CC}">
                <c16:uniqueId val="{00000003-16D3-4E0E-954A-6B066CA7869F}"/>
              </c:ext>
            </c:extLst>
          </c:dPt>
          <c:dPt>
            <c:idx val="2"/>
            <c:bubble3D val="0"/>
            <c:spPr>
              <a:solidFill>
                <a:schemeClr val="accent4"/>
              </a:solidFill>
              <a:ln>
                <a:noFill/>
              </a:ln>
              <a:effectLst/>
              <a:sp3d/>
            </c:spPr>
            <c:extLst>
              <c:ext xmlns:c16="http://schemas.microsoft.com/office/drawing/2014/chart" uri="{C3380CC4-5D6E-409C-BE32-E72D297353CC}">
                <c16:uniqueId val="{00000005-16D3-4E0E-954A-6B066CA7869F}"/>
              </c:ext>
            </c:extLst>
          </c:dPt>
          <c:dPt>
            <c:idx val="3"/>
            <c:bubble3D val="0"/>
            <c:spPr>
              <a:solidFill>
                <a:schemeClr val="accent6">
                  <a:lumMod val="60000"/>
                </a:schemeClr>
              </a:solidFill>
              <a:ln>
                <a:noFill/>
              </a:ln>
              <a:effectLst/>
              <a:sp3d/>
            </c:spPr>
            <c:extLst>
              <c:ext xmlns:c16="http://schemas.microsoft.com/office/drawing/2014/chart" uri="{C3380CC4-5D6E-409C-BE32-E72D297353CC}">
                <c16:uniqueId val="{00000007-16D3-4E0E-954A-6B066CA7869F}"/>
              </c:ext>
            </c:extLst>
          </c:dPt>
          <c:dPt>
            <c:idx val="4"/>
            <c:bubble3D val="0"/>
            <c:spPr>
              <a:solidFill>
                <a:schemeClr val="accent5">
                  <a:lumMod val="60000"/>
                </a:schemeClr>
              </a:solidFill>
              <a:ln>
                <a:noFill/>
              </a:ln>
              <a:effectLst/>
              <a:sp3d/>
            </c:spPr>
            <c:extLst>
              <c:ext xmlns:c16="http://schemas.microsoft.com/office/drawing/2014/chart" uri="{C3380CC4-5D6E-409C-BE32-E72D297353CC}">
                <c16:uniqueId val="{00000009-16D3-4E0E-954A-6B066CA7869F}"/>
              </c:ext>
            </c:extLst>
          </c:dPt>
          <c:dPt>
            <c:idx val="5"/>
            <c:bubble3D val="0"/>
            <c:spPr>
              <a:solidFill>
                <a:schemeClr val="accent4">
                  <a:lumMod val="60000"/>
                </a:schemeClr>
              </a:solidFill>
              <a:ln>
                <a:noFill/>
              </a:ln>
              <a:effectLst/>
              <a:sp3d/>
            </c:spPr>
            <c:extLst>
              <c:ext xmlns:c16="http://schemas.microsoft.com/office/drawing/2014/chart" uri="{C3380CC4-5D6E-409C-BE32-E72D297353CC}">
                <c16:uniqueId val="{0000000B-16D3-4E0E-954A-6B066CA7869F}"/>
              </c:ext>
            </c:extLst>
          </c:dPt>
          <c:dPt>
            <c:idx val="6"/>
            <c:bubble3D val="0"/>
            <c:spPr>
              <a:solidFill>
                <a:schemeClr val="accent6">
                  <a:lumMod val="80000"/>
                  <a:lumOff val="20000"/>
                </a:schemeClr>
              </a:solidFill>
              <a:ln>
                <a:noFill/>
              </a:ln>
              <a:effectLst/>
              <a:sp3d/>
            </c:spPr>
            <c:extLst>
              <c:ext xmlns:c16="http://schemas.microsoft.com/office/drawing/2014/chart" uri="{C3380CC4-5D6E-409C-BE32-E72D297353CC}">
                <c16:uniqueId val="{0000000D-16D3-4E0E-954A-6B066CA7869F}"/>
              </c:ext>
            </c:extLst>
          </c:dPt>
          <c:dPt>
            <c:idx val="7"/>
            <c:bubble3D val="0"/>
            <c:spPr>
              <a:solidFill>
                <a:schemeClr val="accent5">
                  <a:lumMod val="80000"/>
                  <a:lumOff val="20000"/>
                </a:schemeClr>
              </a:solidFill>
              <a:ln>
                <a:noFill/>
              </a:ln>
              <a:effectLst/>
              <a:sp3d/>
            </c:spPr>
            <c:extLst>
              <c:ext xmlns:c16="http://schemas.microsoft.com/office/drawing/2014/chart" uri="{C3380CC4-5D6E-409C-BE32-E72D297353CC}">
                <c16:uniqueId val="{0000000F-16D3-4E0E-954A-6B066CA7869F}"/>
              </c:ext>
            </c:extLst>
          </c:dPt>
          <c:cat>
            <c:strRef>
              <c:f>'[Destinations 2020-21 HT1-6 (updated).xlsx]Sheet1'!$A$4:$A$11</c:f>
              <c:strCache>
                <c:ptCount val="8"/>
                <c:pt idx="0">
                  <c:v>Specialist School</c:v>
                </c:pt>
                <c:pt idx="1">
                  <c:v>CME</c:v>
                </c:pt>
                <c:pt idx="2">
                  <c:v>EHE</c:v>
                </c:pt>
                <c:pt idx="3">
                  <c:v>Hospital School</c:v>
                </c:pt>
                <c:pt idx="4">
                  <c:v>Mainstream</c:v>
                </c:pt>
                <c:pt idx="5">
                  <c:v>Out of area</c:v>
                </c:pt>
                <c:pt idx="6">
                  <c:v>LA</c:v>
                </c:pt>
                <c:pt idx="7">
                  <c:v>Y11 leaver</c:v>
                </c:pt>
              </c:strCache>
            </c:strRef>
          </c:cat>
          <c:val>
            <c:numRef>
              <c:f>'[Destinations 2020-21 HT1-6 (updated).xlsx]Sheet1'!$B$4:$B$11</c:f>
              <c:numCache>
                <c:formatCode>General</c:formatCode>
                <c:ptCount val="8"/>
                <c:pt idx="0">
                  <c:v>15</c:v>
                </c:pt>
                <c:pt idx="1">
                  <c:v>0</c:v>
                </c:pt>
                <c:pt idx="2">
                  <c:v>4</c:v>
                </c:pt>
                <c:pt idx="3">
                  <c:v>0</c:v>
                </c:pt>
                <c:pt idx="4">
                  <c:v>10</c:v>
                </c:pt>
                <c:pt idx="5">
                  <c:v>8</c:v>
                </c:pt>
                <c:pt idx="6">
                  <c:v>0</c:v>
                </c:pt>
                <c:pt idx="7">
                  <c:v>124</c:v>
                </c:pt>
              </c:numCache>
            </c:numRef>
          </c:val>
          <c:extLst>
            <c:ext xmlns:c16="http://schemas.microsoft.com/office/drawing/2014/chart" uri="{C3380CC4-5D6E-409C-BE32-E72D297353CC}">
              <c16:uniqueId val="{00000010-16D3-4E0E-954A-6B066CA7869F}"/>
            </c:ext>
          </c:extLst>
        </c:ser>
        <c:dLbls>
          <c:showLegendKey val="0"/>
          <c:showVal val="0"/>
          <c:showCatName val="0"/>
          <c:showSerName val="0"/>
          <c:showPercent val="0"/>
          <c:showBubbleSize val="0"/>
          <c:showLeaderLines val="1"/>
        </c:dLbls>
      </c:pie3DChart>
      <c:spPr>
        <a:noFill/>
        <a:ln w="25400">
          <a:noFill/>
        </a:ln>
        <a:effectLst/>
      </c:spPr>
    </c:plotArea>
    <c:legend>
      <c:legendPos val="r"/>
      <c:layout>
        <c:manualLayout>
          <c:xMode val="edge"/>
          <c:yMode val="edge"/>
          <c:x val="0.67324032383276033"/>
          <c:y val="0.1981981981981982"/>
          <c:w val="0.29295814942527154"/>
          <c:h val="0.69189189189189193"/>
        </c:manualLayout>
      </c:layout>
      <c:overlay val="0"/>
      <c:spPr>
        <a:solidFill>
          <a:srgbClr val="FFFFFF"/>
        </a:solidFill>
        <a:ln w="3175">
          <a:solidFill>
            <a:srgbClr val="000000"/>
          </a:solidFill>
          <a:prstDash val="solid"/>
        </a:ln>
        <a:effectLst/>
      </c:spPr>
      <c:txPr>
        <a:bodyPr rot="0" spcFirstLastPara="1" vertOverflow="ellipsis" vert="horz" wrap="square" anchor="ctr" anchorCtr="1"/>
        <a:lstStyle/>
        <a:p>
          <a:pPr>
            <a:defRPr sz="755" b="0" i="0" u="none" strike="noStrike" kern="1200"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5" cap="flat" cmpd="sng" algn="ctr">
      <a:solidFill>
        <a:srgbClr val="000000"/>
      </a:solidFill>
      <a:prstDash val="solid"/>
      <a:round/>
    </a:ln>
    <a:effectLst/>
  </c:spPr>
  <c:txPr>
    <a:bodyPr/>
    <a:lstStyle/>
    <a:p>
      <a:pPr>
        <a:defRPr sz="450" b="0" i="0" u="none" strike="noStrike" baseline="0">
          <a:solidFill>
            <a:srgbClr val="000000"/>
          </a:solidFill>
          <a:latin typeface="Arial"/>
          <a:ea typeface="Arial"/>
          <a:cs typeface="Aria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14</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Andrew Burton</cp:lastModifiedBy>
  <cp:revision>6</cp:revision>
  <cp:lastPrinted>2021-09-08T07:51:00Z</cp:lastPrinted>
  <dcterms:created xsi:type="dcterms:W3CDTF">2021-11-02T13:01:00Z</dcterms:created>
  <dcterms:modified xsi:type="dcterms:W3CDTF">2021-11-08T09:21:00Z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